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62CC7A" w14:textId="44578C27" w:rsidR="00073DFA" w:rsidRPr="00073DFA" w:rsidRDefault="00073DFA" w:rsidP="00073DFA">
      <w:pPr>
        <w:tabs>
          <w:tab w:val="left" w:pos="1985"/>
        </w:tabs>
        <w:spacing w:after="0"/>
        <w:ind w:left="0" w:firstLine="0"/>
        <w:rPr>
          <w:rFonts w:ascii="Arial" w:hAnsi="Arial" w:cs="Arial"/>
          <w:b/>
          <w:bCs/>
          <w:sz w:val="28"/>
        </w:rPr>
      </w:pPr>
      <w:r w:rsidRPr="00073DFA">
        <w:rPr>
          <w:rFonts w:ascii="Arial" w:hAnsi="Arial" w:cs="Arial"/>
          <w:b/>
          <w:bCs/>
          <w:sz w:val="28"/>
        </w:rPr>
        <w:t>3GPP TSG RAN WG1 #98</w:t>
      </w:r>
      <w:r w:rsidRPr="00073DFA">
        <w:rPr>
          <w:rFonts w:ascii="Arial" w:hAnsi="Arial" w:cs="Arial"/>
          <w:b/>
          <w:bCs/>
          <w:sz w:val="28"/>
        </w:rPr>
        <w:tab/>
      </w:r>
      <w:r w:rsidRPr="00073DFA">
        <w:rPr>
          <w:rFonts w:ascii="Arial" w:hAnsi="Arial" w:cs="Arial"/>
          <w:b/>
          <w:bCs/>
          <w:sz w:val="28"/>
        </w:rPr>
        <w:tab/>
      </w:r>
      <w:r w:rsidRPr="00073DFA">
        <w:rPr>
          <w:rFonts w:ascii="Arial" w:hAnsi="Arial" w:cs="Arial"/>
          <w:b/>
          <w:bCs/>
          <w:sz w:val="28"/>
        </w:rPr>
        <w:tab/>
      </w:r>
      <w:r w:rsidRPr="00073DFA">
        <w:rPr>
          <w:rFonts w:ascii="Arial" w:hAnsi="Arial" w:cs="Arial"/>
          <w:b/>
          <w:bCs/>
          <w:sz w:val="28"/>
        </w:rPr>
        <w:tab/>
      </w:r>
      <w:r w:rsidRPr="00073DFA">
        <w:rPr>
          <w:rFonts w:ascii="Arial" w:hAnsi="Arial" w:cs="Arial"/>
          <w:b/>
          <w:bCs/>
          <w:sz w:val="28"/>
        </w:rPr>
        <w:tab/>
      </w:r>
      <w:r w:rsidRPr="00073DFA">
        <w:rPr>
          <w:rFonts w:ascii="Arial" w:hAnsi="Arial" w:cs="Arial"/>
          <w:b/>
          <w:bCs/>
          <w:sz w:val="28"/>
        </w:rPr>
        <w:tab/>
        <w:t>R1-19</w:t>
      </w:r>
      <w:r w:rsidR="004B2BC9">
        <w:rPr>
          <w:rFonts w:ascii="Arial" w:hAnsi="Arial" w:cs="Arial"/>
          <w:b/>
          <w:bCs/>
          <w:sz w:val="28"/>
        </w:rPr>
        <w:t>08545</w:t>
      </w:r>
    </w:p>
    <w:p w14:paraId="38EF80FB" w14:textId="5D4B1A6B" w:rsidR="000C1057" w:rsidRDefault="00073DFA" w:rsidP="00073DFA">
      <w:pPr>
        <w:tabs>
          <w:tab w:val="left" w:pos="1985"/>
        </w:tabs>
        <w:spacing w:after="0"/>
        <w:ind w:left="0" w:firstLine="0"/>
        <w:rPr>
          <w:rFonts w:ascii="Arial" w:hAnsi="Arial" w:cs="Arial"/>
          <w:b/>
          <w:bCs/>
          <w:sz w:val="28"/>
        </w:rPr>
      </w:pPr>
      <w:r w:rsidRPr="00073DFA">
        <w:rPr>
          <w:rFonts w:ascii="Arial" w:hAnsi="Arial" w:cs="Arial"/>
          <w:b/>
          <w:bCs/>
          <w:sz w:val="28"/>
        </w:rPr>
        <w:t>Prague, CZ, August 26th – 30th, 2019</w:t>
      </w:r>
    </w:p>
    <w:p w14:paraId="0F15950A" w14:textId="68EE66A4" w:rsidR="00986086" w:rsidRPr="001A71EA" w:rsidRDefault="00986086" w:rsidP="00986086">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Pr>
          <w:rFonts w:ascii="Arial" w:eastAsia="맑은 고딕" w:hAnsi="Arial"/>
          <w:sz w:val="24"/>
          <w:lang w:val="en-US" w:eastAsia="ko-KR"/>
        </w:rPr>
        <w:t>7.2.6.</w:t>
      </w:r>
      <w:r w:rsidR="005C1E73">
        <w:rPr>
          <w:rFonts w:ascii="Arial" w:eastAsia="맑은 고딕" w:hAnsi="Arial"/>
          <w:sz w:val="24"/>
          <w:lang w:val="en-US" w:eastAsia="ko-KR"/>
        </w:rPr>
        <w:t>5</w:t>
      </w:r>
    </w:p>
    <w:p w14:paraId="4A036365" w14:textId="77777777" w:rsidR="00986086" w:rsidRPr="005E31A4" w:rsidRDefault="00986086" w:rsidP="00986086">
      <w:pPr>
        <w:tabs>
          <w:tab w:val="left" w:pos="1985"/>
        </w:tabs>
        <w:spacing w:after="0"/>
        <w:ind w:left="0" w:firstLine="0"/>
        <w:rPr>
          <w:rFonts w:ascii="Arial" w:eastAsia="바탕" w:hAnsi="Arial"/>
          <w:sz w:val="24"/>
          <w:lang w:val="en-US" w:eastAsia="ko-KR"/>
        </w:rPr>
      </w:pPr>
      <w:r w:rsidRPr="005E31A4">
        <w:rPr>
          <w:rFonts w:ascii="Arial" w:hAnsi="Arial"/>
          <w:b/>
          <w:sz w:val="24"/>
          <w:lang w:val="en-US"/>
        </w:rPr>
        <w:t xml:space="preserve">Source: </w:t>
      </w:r>
      <w:r w:rsidRPr="005E31A4">
        <w:rPr>
          <w:rFonts w:ascii="Arial" w:hAnsi="Arial"/>
          <w:b/>
          <w:sz w:val="24"/>
          <w:lang w:val="en-US"/>
        </w:rPr>
        <w:tab/>
      </w:r>
      <w:r w:rsidRPr="005E31A4">
        <w:rPr>
          <w:rFonts w:ascii="Arial" w:eastAsia="바탕" w:hAnsi="Arial"/>
          <w:sz w:val="24"/>
          <w:lang w:val="en-US" w:eastAsia="ko-KR"/>
        </w:rPr>
        <w:t>LG Electronics</w:t>
      </w:r>
    </w:p>
    <w:p w14:paraId="7F08ED75" w14:textId="77777777" w:rsidR="00986086" w:rsidRPr="004B49D1" w:rsidRDefault="00986086" w:rsidP="00986086">
      <w:pPr>
        <w:tabs>
          <w:tab w:val="left" w:pos="1985"/>
        </w:tabs>
        <w:spacing w:after="0"/>
        <w:ind w:left="0" w:firstLine="0"/>
        <w:rPr>
          <w:rFonts w:ascii="Arial" w:eastAsiaTheme="minorEastAsia" w:hAnsi="Arial" w:cs="Arial"/>
          <w:sz w:val="24"/>
          <w:szCs w:val="24"/>
          <w:lang w:val="en-US" w:eastAsia="ko-KR"/>
        </w:rPr>
      </w:pPr>
      <w:r w:rsidRPr="005E31A4">
        <w:rPr>
          <w:rFonts w:ascii="Arial" w:hAnsi="Arial"/>
          <w:b/>
          <w:sz w:val="24"/>
          <w:lang w:val="en-US"/>
        </w:rPr>
        <w:t>Title:</w:t>
      </w:r>
      <w:r w:rsidRPr="005E31A4">
        <w:rPr>
          <w:rFonts w:ascii="Arial" w:hAnsi="Arial"/>
          <w:sz w:val="24"/>
          <w:lang w:val="en-US"/>
        </w:rPr>
        <w:t xml:space="preserve"> </w:t>
      </w:r>
      <w:r w:rsidRPr="005E31A4">
        <w:rPr>
          <w:rFonts w:ascii="Arial" w:hAnsi="Arial"/>
          <w:sz w:val="24"/>
          <w:lang w:val="en-US"/>
        </w:rPr>
        <w:tab/>
      </w:r>
      <w:r w:rsidRPr="004B49D1">
        <w:rPr>
          <w:rFonts w:ascii="Arial" w:hAnsi="Arial"/>
          <w:sz w:val="24"/>
          <w:lang w:val="en-US"/>
        </w:rPr>
        <w:t>Discussion on UL inter UE Tx prioritization</w:t>
      </w:r>
    </w:p>
    <w:p w14:paraId="148AA48E" w14:textId="77777777" w:rsidR="00986086" w:rsidRPr="005E31A4" w:rsidRDefault="00986086" w:rsidP="00986086">
      <w:pPr>
        <w:pBdr>
          <w:bottom w:val="single" w:sz="12" w:space="1" w:color="auto"/>
        </w:pBdr>
        <w:tabs>
          <w:tab w:val="left" w:pos="1985"/>
        </w:tabs>
        <w:ind w:left="0" w:firstLine="0"/>
        <w:rPr>
          <w:rFonts w:ascii="Arial" w:eastAsia="바탕" w:hAnsi="Arial"/>
          <w:sz w:val="24"/>
          <w:lang w:val="en-US" w:eastAsia="ko-KR"/>
        </w:rPr>
      </w:pPr>
      <w:r w:rsidRPr="005E31A4">
        <w:rPr>
          <w:rFonts w:ascii="Arial" w:hAnsi="Arial"/>
          <w:b/>
          <w:sz w:val="24"/>
          <w:lang w:val="en-US"/>
        </w:rPr>
        <w:t>Document for:</w:t>
      </w:r>
      <w:r w:rsidRPr="005E31A4">
        <w:rPr>
          <w:rFonts w:ascii="Arial" w:hAnsi="Arial"/>
          <w:sz w:val="24"/>
          <w:lang w:val="en-US"/>
        </w:rPr>
        <w:tab/>
      </w:r>
      <w:r w:rsidRPr="005E31A4">
        <w:rPr>
          <w:rFonts w:ascii="Arial" w:eastAsia="바탕" w:hAnsi="Arial"/>
          <w:sz w:val="24"/>
          <w:lang w:val="en-US" w:eastAsia="ko-KR"/>
        </w:rPr>
        <w:t>Discussion</w:t>
      </w:r>
      <w:bookmarkStart w:id="0" w:name="Source"/>
      <w:bookmarkStart w:id="1" w:name="Title"/>
      <w:bookmarkStart w:id="2" w:name="DocumentFor"/>
      <w:bookmarkEnd w:id="0"/>
      <w:bookmarkEnd w:id="1"/>
      <w:bookmarkEnd w:id="2"/>
      <w:r w:rsidRPr="005E31A4">
        <w:rPr>
          <w:rFonts w:ascii="Arial" w:eastAsia="바탕" w:hAnsi="Arial"/>
          <w:sz w:val="24"/>
          <w:lang w:val="en-US" w:eastAsia="ko-KR"/>
        </w:rPr>
        <w:t xml:space="preserve"> and decision</w:t>
      </w:r>
    </w:p>
    <w:p w14:paraId="25D7A997" w14:textId="77777777" w:rsidR="00986086" w:rsidRPr="005E31A4" w:rsidRDefault="00986086" w:rsidP="00986086">
      <w:pPr>
        <w:pStyle w:val="1"/>
        <w:numPr>
          <w:ilvl w:val="0"/>
          <w:numId w:val="1"/>
        </w:numPr>
        <w:rPr>
          <w:rFonts w:eastAsia="바탕" w:cs="Arial"/>
          <w:b/>
          <w:lang w:val="en-US" w:eastAsia="ko-KR"/>
        </w:rPr>
      </w:pPr>
      <w:r w:rsidRPr="005E31A4">
        <w:rPr>
          <w:rFonts w:eastAsia="바탕" w:cs="Arial"/>
          <w:b/>
          <w:lang w:val="en-US" w:eastAsia="ko-KR"/>
        </w:rPr>
        <w:t>Introduction</w:t>
      </w:r>
    </w:p>
    <w:p w14:paraId="5D91BCB4" w14:textId="15ACE003" w:rsidR="00986086" w:rsidRPr="00816107" w:rsidRDefault="00986086" w:rsidP="00986086">
      <w:pPr>
        <w:pStyle w:val="Doc"/>
        <w:rPr>
          <w:rFonts w:eastAsiaTheme="minorEastAsia"/>
          <w:lang w:val="en-GB"/>
        </w:rPr>
      </w:pPr>
      <w:r>
        <w:rPr>
          <w:rFonts w:hint="eastAsia"/>
          <w:lang w:val="en-GB"/>
        </w:rPr>
        <w:t>I</w:t>
      </w:r>
      <w:r>
        <w:rPr>
          <w:lang w:val="en-GB"/>
        </w:rPr>
        <w:t>n</w:t>
      </w:r>
      <w:r w:rsidR="00E6765F">
        <w:rPr>
          <w:lang w:val="en-GB"/>
        </w:rPr>
        <w:t xml:space="preserve"> previous meetings</w:t>
      </w:r>
      <w:r>
        <w:rPr>
          <w:lang w:val="en-GB"/>
        </w:rPr>
        <w:t xml:space="preserve">, following are agreed relevant to </w:t>
      </w:r>
      <w:r w:rsidR="007926C2">
        <w:rPr>
          <w:lang w:val="en-GB"/>
        </w:rPr>
        <w:t xml:space="preserve">UL inter-UE </w:t>
      </w:r>
      <w:r w:rsidR="00637E79">
        <w:rPr>
          <w:lang w:val="en-GB"/>
        </w:rPr>
        <w:t>TX</w:t>
      </w:r>
      <w:r w:rsidR="007926C2">
        <w:rPr>
          <w:lang w:val="en-GB"/>
        </w:rPr>
        <w:t xml:space="preserve"> prioritization</w:t>
      </w:r>
      <w:r>
        <w:rPr>
          <w:lang w:val="en-GB"/>
        </w:rPr>
        <w:t xml:space="preserve"> for URLLC</w:t>
      </w:r>
      <w:r w:rsidR="007926C2">
        <w:rPr>
          <w:lang w:val="en-GB"/>
        </w:rPr>
        <w:t xml:space="preserve"> </w:t>
      </w:r>
      <w:r w:rsidR="004101D0">
        <w:rPr>
          <w:lang w:val="en-GB"/>
        </w:rPr>
        <w:t>[1]</w:t>
      </w:r>
      <w:r>
        <w:rPr>
          <w:lang w:val="en-GB"/>
        </w:rPr>
        <w:t>:</w:t>
      </w:r>
    </w:p>
    <w:tbl>
      <w:tblPr>
        <w:tblStyle w:val="a3"/>
        <w:tblW w:w="0" w:type="auto"/>
        <w:tblLook w:val="04A0" w:firstRow="1" w:lastRow="0" w:firstColumn="1" w:lastColumn="0" w:noHBand="0" w:noVBand="1"/>
      </w:tblPr>
      <w:tblGrid>
        <w:gridCol w:w="9628"/>
      </w:tblGrid>
      <w:tr w:rsidR="00986086" w14:paraId="440A2839" w14:textId="77777777" w:rsidTr="007349F8">
        <w:tc>
          <w:tcPr>
            <w:tcW w:w="9628" w:type="dxa"/>
          </w:tcPr>
          <w:p w14:paraId="4CF41FB9" w14:textId="77777777" w:rsidR="003749CB" w:rsidRPr="00C638E3" w:rsidRDefault="003749CB" w:rsidP="003749CB">
            <w:pPr>
              <w:pStyle w:val="agreementHEAD"/>
            </w:pPr>
            <w:r w:rsidRPr="00C638E3">
              <w:rPr>
                <w:highlight w:val="green"/>
              </w:rPr>
              <w:t>Agreements</w:t>
            </w:r>
            <w:r w:rsidRPr="00C638E3">
              <w:t>:</w:t>
            </w:r>
          </w:p>
          <w:p w14:paraId="4C71C988" w14:textId="77777777" w:rsidR="003749CB" w:rsidRPr="003749CB" w:rsidRDefault="003749CB" w:rsidP="003749CB">
            <w:pPr>
              <w:pStyle w:val="ad"/>
              <w:numPr>
                <w:ilvl w:val="0"/>
                <w:numId w:val="38"/>
              </w:numPr>
              <w:ind w:leftChars="0"/>
              <w:rPr>
                <w:lang w:eastAsia="zh-CN"/>
              </w:rPr>
            </w:pPr>
            <w:r w:rsidRPr="003749CB">
              <w:rPr>
                <w:lang w:eastAsia="zh-CN"/>
              </w:rPr>
              <w:t>S</w:t>
            </w:r>
            <w:r w:rsidRPr="003749CB">
              <w:rPr>
                <w:rFonts w:hint="eastAsia"/>
                <w:lang w:eastAsia="zh-CN"/>
              </w:rPr>
              <w:t xml:space="preserve">upport </w:t>
            </w:r>
            <w:r w:rsidRPr="003749CB">
              <w:rPr>
                <w:lang w:eastAsia="zh-CN"/>
              </w:rPr>
              <w:t xml:space="preserve">at least </w:t>
            </w:r>
            <w:r w:rsidRPr="003749CB">
              <w:rPr>
                <w:rFonts w:hint="eastAsia"/>
                <w:lang w:eastAsia="zh-CN"/>
              </w:rPr>
              <w:t>group common DCI for cancelation indication</w:t>
            </w:r>
          </w:p>
          <w:p w14:paraId="444D51A1" w14:textId="77777777" w:rsidR="003749CB" w:rsidRPr="003749CB" w:rsidRDefault="003749CB" w:rsidP="003749CB">
            <w:pPr>
              <w:pStyle w:val="ad"/>
              <w:numPr>
                <w:ilvl w:val="1"/>
                <w:numId w:val="38"/>
              </w:numPr>
              <w:ind w:leftChars="0"/>
              <w:rPr>
                <w:lang w:eastAsia="zh-CN"/>
              </w:rPr>
            </w:pPr>
            <w:r w:rsidRPr="003749CB">
              <w:rPr>
                <w:lang w:eastAsia="zh-CN"/>
              </w:rPr>
              <w:t xml:space="preserve">FFS whether or not to additionally support </w:t>
            </w:r>
            <w:r w:rsidRPr="003749CB">
              <w:rPr>
                <w:rFonts w:hint="eastAsia"/>
                <w:lang w:eastAsia="zh-CN"/>
              </w:rPr>
              <w:t>UE-specific DCI for cancelation indication</w:t>
            </w:r>
          </w:p>
          <w:p w14:paraId="6541648E" w14:textId="77777777" w:rsidR="003749CB" w:rsidRPr="003749CB" w:rsidRDefault="003749CB" w:rsidP="003749CB">
            <w:pPr>
              <w:pStyle w:val="agreementHEAD"/>
            </w:pPr>
            <w:r w:rsidRPr="003749CB">
              <w:t>Conclusion:</w:t>
            </w:r>
          </w:p>
          <w:p w14:paraId="18BB77FA" w14:textId="77777777" w:rsidR="003749CB" w:rsidRPr="003749CB" w:rsidRDefault="003749CB" w:rsidP="003749CB">
            <w:pPr>
              <w:ind w:left="0" w:firstLine="0"/>
            </w:pPr>
            <w:r w:rsidRPr="003749CB">
              <w:rPr>
                <w:rFonts w:hint="eastAsia"/>
              </w:rPr>
              <w:t>To down-select from the following options for enhanced power control</w:t>
            </w:r>
          </w:p>
          <w:p w14:paraId="6AF663DF" w14:textId="77777777" w:rsidR="003749CB" w:rsidRPr="003749CB" w:rsidRDefault="003749CB" w:rsidP="003749CB">
            <w:pPr>
              <w:pStyle w:val="ad"/>
              <w:numPr>
                <w:ilvl w:val="0"/>
                <w:numId w:val="37"/>
              </w:numPr>
              <w:ind w:leftChars="0"/>
              <w:rPr>
                <w:lang w:eastAsia="zh-CN"/>
              </w:rPr>
            </w:pPr>
            <w:r w:rsidRPr="003749CB">
              <w:rPr>
                <w:lang w:eastAsia="zh-CN"/>
              </w:rPr>
              <w:t>O</w:t>
            </w:r>
            <w:r w:rsidRPr="003749CB">
              <w:rPr>
                <w:rFonts w:hint="eastAsia"/>
                <w:lang w:eastAsia="zh-CN"/>
              </w:rPr>
              <w:t xml:space="preserve">ption 1: Indication of open-loop parameter sets by DCI </w:t>
            </w:r>
          </w:p>
          <w:p w14:paraId="096248BE" w14:textId="77777777" w:rsidR="003749CB" w:rsidRPr="003749CB" w:rsidRDefault="003749CB" w:rsidP="003749CB">
            <w:pPr>
              <w:pStyle w:val="ad"/>
              <w:numPr>
                <w:ilvl w:val="1"/>
                <w:numId w:val="37"/>
              </w:numPr>
              <w:ind w:leftChars="0"/>
              <w:rPr>
                <w:lang w:eastAsia="zh-CN"/>
              </w:rPr>
            </w:pPr>
            <w:r w:rsidRPr="003749CB">
              <w:rPr>
                <w:lang w:eastAsia="zh-CN"/>
              </w:rPr>
              <w:t>F</w:t>
            </w:r>
            <w:r w:rsidRPr="003749CB">
              <w:rPr>
                <w:rFonts w:hint="eastAsia"/>
                <w:lang w:eastAsia="zh-CN"/>
              </w:rPr>
              <w:t xml:space="preserve">or DG-PUSCH, an open-loop parameter set </w:t>
            </w:r>
            <w:r w:rsidRPr="003749CB">
              <w:rPr>
                <w:lang w:eastAsia="zh-CN"/>
              </w:rPr>
              <w:t>indicated</w:t>
            </w:r>
            <w:r w:rsidRPr="003749CB">
              <w:rPr>
                <w:rFonts w:hint="eastAsia"/>
                <w:lang w:eastAsia="zh-CN"/>
              </w:rPr>
              <w:t xml:space="preserve"> to the UE by scheduling DCI without using SRI is applied to the scheduled transmission</w:t>
            </w:r>
          </w:p>
          <w:p w14:paraId="1A8D55B3" w14:textId="77777777" w:rsidR="003749CB" w:rsidRPr="003749CB" w:rsidRDefault="003749CB" w:rsidP="003749CB">
            <w:pPr>
              <w:pStyle w:val="ad"/>
              <w:numPr>
                <w:ilvl w:val="1"/>
                <w:numId w:val="37"/>
              </w:numPr>
              <w:ind w:leftChars="0"/>
              <w:rPr>
                <w:lang w:eastAsia="zh-CN"/>
              </w:rPr>
            </w:pPr>
            <w:r w:rsidRPr="003749CB">
              <w:rPr>
                <w:lang w:eastAsia="zh-CN"/>
              </w:rPr>
              <w:t xml:space="preserve">FFS </w:t>
            </w:r>
            <w:r w:rsidRPr="003749CB">
              <w:rPr>
                <w:rFonts w:hint="eastAsia"/>
                <w:lang w:eastAsia="zh-CN"/>
              </w:rPr>
              <w:t xml:space="preserve">At least </w:t>
            </w:r>
            <w:r w:rsidRPr="003749CB">
              <w:rPr>
                <w:lang w:eastAsia="zh-CN"/>
              </w:rPr>
              <w:t>f</w:t>
            </w:r>
            <w:r w:rsidRPr="003749CB">
              <w:rPr>
                <w:rFonts w:hint="eastAsia"/>
                <w:lang w:eastAsia="zh-CN"/>
              </w:rPr>
              <w:t xml:space="preserve">or single active CG-PUSCH, an open-loop parameter set is </w:t>
            </w:r>
            <w:r w:rsidRPr="003749CB">
              <w:rPr>
                <w:lang w:eastAsia="zh-CN"/>
              </w:rPr>
              <w:t>indicated</w:t>
            </w:r>
            <w:r w:rsidRPr="003749CB">
              <w:rPr>
                <w:rFonts w:hint="eastAsia"/>
                <w:lang w:eastAsia="zh-CN"/>
              </w:rPr>
              <w:t xml:space="preserve"> to the UE by a UE-specific field in group common DCI</w:t>
            </w:r>
          </w:p>
          <w:p w14:paraId="3B1D821A" w14:textId="77777777" w:rsidR="003749CB" w:rsidRPr="003749CB" w:rsidRDefault="003749CB" w:rsidP="003749CB">
            <w:pPr>
              <w:pStyle w:val="ad"/>
              <w:numPr>
                <w:ilvl w:val="2"/>
                <w:numId w:val="37"/>
              </w:numPr>
              <w:ind w:leftChars="0"/>
              <w:rPr>
                <w:lang w:eastAsia="zh-CN"/>
              </w:rPr>
            </w:pPr>
            <w:r w:rsidRPr="003749CB">
              <w:rPr>
                <w:rFonts w:hint="eastAsia"/>
                <w:lang w:eastAsia="zh-CN"/>
              </w:rPr>
              <w:t>FFS for the case of multiple active CG-PUSCH</w:t>
            </w:r>
          </w:p>
          <w:p w14:paraId="7615039F" w14:textId="77777777" w:rsidR="003749CB" w:rsidRPr="003749CB" w:rsidRDefault="003749CB" w:rsidP="003749CB">
            <w:pPr>
              <w:pStyle w:val="ad"/>
              <w:numPr>
                <w:ilvl w:val="1"/>
                <w:numId w:val="37"/>
              </w:numPr>
              <w:ind w:leftChars="0"/>
              <w:rPr>
                <w:lang w:eastAsia="zh-CN"/>
              </w:rPr>
            </w:pPr>
            <w:r w:rsidRPr="003749CB">
              <w:rPr>
                <w:lang w:eastAsia="zh-CN"/>
              </w:rPr>
              <w:t>FFS</w:t>
            </w:r>
            <w:r w:rsidRPr="003749CB">
              <w:rPr>
                <w:rFonts w:hint="eastAsia"/>
                <w:lang w:eastAsia="zh-CN"/>
              </w:rPr>
              <w:t xml:space="preserve"> For a UE, the open-loop parameter sets for DG-PUSCH and CG-PUSCH may be same or different</w:t>
            </w:r>
          </w:p>
          <w:p w14:paraId="1F38E559" w14:textId="77777777" w:rsidR="003749CB" w:rsidRPr="003749CB" w:rsidRDefault="003749CB" w:rsidP="003749CB">
            <w:pPr>
              <w:pStyle w:val="ad"/>
              <w:numPr>
                <w:ilvl w:val="0"/>
                <w:numId w:val="37"/>
              </w:numPr>
              <w:ind w:leftChars="0"/>
            </w:pPr>
            <w:r w:rsidRPr="003749CB">
              <w:rPr>
                <w:rFonts w:hint="eastAsia"/>
              </w:rPr>
              <w:t>Option 2: Indication of TPC with increased range by DCI</w:t>
            </w:r>
          </w:p>
          <w:p w14:paraId="64C3411A" w14:textId="77777777" w:rsidR="003749CB" w:rsidRPr="003749CB" w:rsidRDefault="003749CB" w:rsidP="003749CB">
            <w:pPr>
              <w:pStyle w:val="ad"/>
              <w:numPr>
                <w:ilvl w:val="1"/>
                <w:numId w:val="37"/>
              </w:numPr>
              <w:ind w:leftChars="0"/>
              <w:rPr>
                <w:lang w:eastAsia="zh-CN"/>
              </w:rPr>
            </w:pPr>
            <w:r w:rsidRPr="003749CB">
              <w:rPr>
                <w:lang w:eastAsia="zh-CN"/>
              </w:rPr>
              <w:t>F</w:t>
            </w:r>
            <w:r w:rsidRPr="003749CB">
              <w:rPr>
                <w:rFonts w:hint="eastAsia"/>
                <w:lang w:eastAsia="zh-CN"/>
              </w:rPr>
              <w:t>or DG-PUSCH, a TPC with increased range is indicated to the UE by the TPC field in scheduling DCI</w:t>
            </w:r>
          </w:p>
          <w:p w14:paraId="31A55E02" w14:textId="77777777" w:rsidR="003749CB" w:rsidRPr="003749CB" w:rsidRDefault="003749CB" w:rsidP="003749CB">
            <w:pPr>
              <w:pStyle w:val="ad"/>
              <w:numPr>
                <w:ilvl w:val="1"/>
                <w:numId w:val="37"/>
              </w:numPr>
              <w:ind w:leftChars="0"/>
              <w:rPr>
                <w:lang w:eastAsia="zh-CN"/>
              </w:rPr>
            </w:pPr>
            <w:r w:rsidRPr="003749CB">
              <w:rPr>
                <w:lang w:eastAsia="zh-CN"/>
              </w:rPr>
              <w:t>FFS</w:t>
            </w:r>
            <w:r w:rsidRPr="003749CB">
              <w:rPr>
                <w:rFonts w:hint="eastAsia"/>
                <w:lang w:eastAsia="zh-CN"/>
              </w:rPr>
              <w:t xml:space="preserve"> At least for single active CG-PUSCH (and potentially also for DG-PUSCH), a TPC with increased range is indicated to the UE by a UE-specific TPC field in group common DCI</w:t>
            </w:r>
          </w:p>
          <w:p w14:paraId="30144B38" w14:textId="4A158E80" w:rsidR="003749CB" w:rsidRPr="003749CB" w:rsidRDefault="003749CB" w:rsidP="003749CB">
            <w:pPr>
              <w:pStyle w:val="ad"/>
              <w:numPr>
                <w:ilvl w:val="2"/>
                <w:numId w:val="37"/>
              </w:numPr>
              <w:ind w:leftChars="0"/>
              <w:rPr>
                <w:lang w:eastAsia="zh-CN"/>
              </w:rPr>
            </w:pPr>
            <w:r w:rsidRPr="003749CB">
              <w:rPr>
                <w:rFonts w:hint="eastAsia"/>
                <w:lang w:eastAsia="zh-CN"/>
              </w:rPr>
              <w:t>FFS for the case of multiple active CG-PUSCH</w:t>
            </w:r>
          </w:p>
          <w:p w14:paraId="15966AAE" w14:textId="77777777" w:rsidR="003749CB" w:rsidRPr="003749CB" w:rsidRDefault="003749CB" w:rsidP="003749CB">
            <w:pPr>
              <w:pStyle w:val="ad"/>
              <w:numPr>
                <w:ilvl w:val="1"/>
                <w:numId w:val="37"/>
              </w:numPr>
              <w:ind w:leftChars="0"/>
              <w:rPr>
                <w:lang w:eastAsia="zh-CN"/>
              </w:rPr>
            </w:pPr>
            <w:r w:rsidRPr="003749CB">
              <w:rPr>
                <w:lang w:eastAsia="zh-CN"/>
              </w:rPr>
              <w:t>At least for DG-PUSCH, f</w:t>
            </w:r>
            <w:r w:rsidRPr="003749CB">
              <w:rPr>
                <w:rFonts w:hint="eastAsia"/>
                <w:lang w:eastAsia="zh-CN"/>
              </w:rPr>
              <w:t xml:space="preserve">or a UE, the number of TPC entries (4 or 8) and power adjustment value for each entry is higher layer configured </w:t>
            </w:r>
          </w:p>
          <w:p w14:paraId="468745B1" w14:textId="77777777" w:rsidR="003749CB" w:rsidRPr="003749CB" w:rsidRDefault="003749CB" w:rsidP="003749CB">
            <w:pPr>
              <w:pStyle w:val="ad"/>
              <w:numPr>
                <w:ilvl w:val="1"/>
                <w:numId w:val="37"/>
              </w:numPr>
              <w:ind w:leftChars="0"/>
              <w:rPr>
                <w:lang w:eastAsia="zh-CN"/>
              </w:rPr>
            </w:pPr>
            <w:r w:rsidRPr="003749CB">
              <w:rPr>
                <w:lang w:eastAsia="zh-CN"/>
              </w:rPr>
              <w:t>FFS</w:t>
            </w:r>
            <w:r w:rsidRPr="003749CB">
              <w:rPr>
                <w:rFonts w:hint="eastAsia"/>
                <w:lang w:eastAsia="zh-CN"/>
              </w:rPr>
              <w:t xml:space="preserve"> For a UE, the TPC configuration for DG-PUSCH and CG-PUSCH may be same or </w:t>
            </w:r>
            <w:r w:rsidRPr="003749CB">
              <w:rPr>
                <w:lang w:eastAsia="zh-CN"/>
              </w:rPr>
              <w:t>different</w:t>
            </w:r>
            <w:r w:rsidRPr="003749CB">
              <w:rPr>
                <w:rFonts w:hint="eastAsia"/>
                <w:lang w:eastAsia="zh-CN"/>
              </w:rPr>
              <w:t xml:space="preserve"> </w:t>
            </w:r>
          </w:p>
          <w:p w14:paraId="4E895EC8" w14:textId="77777777" w:rsidR="003749CB" w:rsidRPr="003749CB" w:rsidRDefault="003749CB" w:rsidP="003749CB">
            <w:pPr>
              <w:pStyle w:val="ad"/>
              <w:numPr>
                <w:ilvl w:val="0"/>
                <w:numId w:val="37"/>
              </w:numPr>
              <w:ind w:leftChars="0"/>
              <w:rPr>
                <w:lang w:eastAsia="zh-CN"/>
              </w:rPr>
            </w:pPr>
            <w:r w:rsidRPr="003749CB">
              <w:rPr>
                <w:rFonts w:hint="eastAsia"/>
                <w:lang w:eastAsia="zh-CN"/>
              </w:rPr>
              <w:t xml:space="preserve">Option 3: </w:t>
            </w:r>
          </w:p>
          <w:p w14:paraId="07060370" w14:textId="77777777" w:rsidR="003749CB" w:rsidRPr="003749CB" w:rsidRDefault="003749CB" w:rsidP="003749CB">
            <w:pPr>
              <w:pStyle w:val="ad"/>
              <w:numPr>
                <w:ilvl w:val="1"/>
                <w:numId w:val="37"/>
              </w:numPr>
              <w:ind w:leftChars="0"/>
              <w:rPr>
                <w:lang w:eastAsia="zh-CN"/>
              </w:rPr>
            </w:pPr>
            <w:r w:rsidRPr="003749CB">
              <w:rPr>
                <w:rFonts w:hint="eastAsia"/>
                <w:lang w:eastAsia="zh-CN"/>
              </w:rPr>
              <w:t>For DG-PUSCH, use either the solution from option 1 or option 2 for DG-PUSCH as above</w:t>
            </w:r>
          </w:p>
          <w:p w14:paraId="0CBE9EEE" w14:textId="77777777" w:rsidR="003749CB" w:rsidRPr="003749CB" w:rsidRDefault="003749CB" w:rsidP="003749CB">
            <w:pPr>
              <w:pStyle w:val="ad"/>
              <w:numPr>
                <w:ilvl w:val="2"/>
                <w:numId w:val="37"/>
              </w:numPr>
              <w:ind w:leftChars="0"/>
              <w:rPr>
                <w:lang w:eastAsia="zh-CN"/>
              </w:rPr>
            </w:pPr>
            <w:r w:rsidRPr="003749CB">
              <w:rPr>
                <w:lang w:eastAsia="zh-CN"/>
              </w:rPr>
              <w:t xml:space="preserve">To </w:t>
            </w:r>
            <w:r w:rsidRPr="003749CB">
              <w:rPr>
                <w:rFonts w:hint="eastAsia"/>
                <w:lang w:eastAsia="zh-CN"/>
              </w:rPr>
              <w:t>down-select from option 1 and 2</w:t>
            </w:r>
          </w:p>
          <w:p w14:paraId="07E3CFA1" w14:textId="77777777" w:rsidR="003749CB" w:rsidRPr="003749CB" w:rsidRDefault="003749CB" w:rsidP="003749CB">
            <w:pPr>
              <w:pStyle w:val="ad"/>
              <w:numPr>
                <w:ilvl w:val="1"/>
                <w:numId w:val="37"/>
              </w:numPr>
              <w:ind w:leftChars="0"/>
              <w:rPr>
                <w:lang w:eastAsia="zh-CN"/>
              </w:rPr>
            </w:pPr>
            <w:r w:rsidRPr="003749CB">
              <w:rPr>
                <w:lang w:eastAsia="zh-CN"/>
              </w:rPr>
              <w:t>FFS</w:t>
            </w:r>
            <w:r w:rsidRPr="003749CB">
              <w:rPr>
                <w:rFonts w:hint="eastAsia"/>
                <w:lang w:eastAsia="zh-CN"/>
              </w:rPr>
              <w:t xml:space="preserve"> At least for single active CG-PUSCH, UE derives the transmissions power based on the time/frequency resource indicated by a group common DCI</w:t>
            </w:r>
          </w:p>
          <w:p w14:paraId="49A10BAF" w14:textId="77777777" w:rsidR="003749CB" w:rsidRPr="003749CB" w:rsidRDefault="003749CB" w:rsidP="003749CB">
            <w:pPr>
              <w:pStyle w:val="ad"/>
              <w:numPr>
                <w:ilvl w:val="2"/>
                <w:numId w:val="37"/>
              </w:numPr>
              <w:ind w:leftChars="0"/>
              <w:rPr>
                <w:lang w:eastAsia="zh-CN"/>
              </w:rPr>
            </w:pPr>
            <w:r w:rsidRPr="003749CB">
              <w:rPr>
                <w:rFonts w:hint="eastAsia"/>
                <w:lang w:eastAsia="zh-CN"/>
              </w:rPr>
              <w:t xml:space="preserve">If a CG-PUSCH transmission overlaps with the </w:t>
            </w:r>
            <w:r w:rsidRPr="003749CB">
              <w:rPr>
                <w:lang w:eastAsia="zh-CN"/>
              </w:rPr>
              <w:t>indicated</w:t>
            </w:r>
            <w:r w:rsidRPr="003749CB">
              <w:rPr>
                <w:rFonts w:hint="eastAsia"/>
                <w:lang w:eastAsia="zh-CN"/>
              </w:rPr>
              <w:t xml:space="preserve"> time/frequency resource, UE use one open-loop parameter set with higher power for the transmission</w:t>
            </w:r>
          </w:p>
          <w:p w14:paraId="424A1B41" w14:textId="77777777" w:rsidR="003749CB" w:rsidRPr="003749CB" w:rsidRDefault="003749CB" w:rsidP="003749CB">
            <w:pPr>
              <w:pStyle w:val="ad"/>
              <w:numPr>
                <w:ilvl w:val="2"/>
                <w:numId w:val="37"/>
              </w:numPr>
              <w:ind w:leftChars="0"/>
              <w:rPr>
                <w:lang w:eastAsia="zh-CN"/>
              </w:rPr>
            </w:pPr>
            <w:r w:rsidRPr="003749CB">
              <w:rPr>
                <w:rFonts w:hint="eastAsia"/>
                <w:lang w:eastAsia="zh-CN"/>
              </w:rPr>
              <w:lastRenderedPageBreak/>
              <w:t xml:space="preserve">If a CG-PUSCH transmission does NOT overlap with the </w:t>
            </w:r>
            <w:r w:rsidRPr="003749CB">
              <w:rPr>
                <w:lang w:eastAsia="zh-CN"/>
              </w:rPr>
              <w:t>indicated</w:t>
            </w:r>
            <w:r w:rsidRPr="003749CB">
              <w:rPr>
                <w:rFonts w:hint="eastAsia"/>
                <w:lang w:eastAsia="zh-CN"/>
              </w:rPr>
              <w:t xml:space="preserve"> time/frequency resource, UE use another open-loop parameter set with lower power for the transmission</w:t>
            </w:r>
          </w:p>
          <w:p w14:paraId="30046EEC" w14:textId="77777777" w:rsidR="003749CB" w:rsidRPr="003749CB" w:rsidRDefault="003749CB" w:rsidP="003749CB">
            <w:pPr>
              <w:pStyle w:val="ad"/>
              <w:numPr>
                <w:ilvl w:val="2"/>
                <w:numId w:val="37"/>
              </w:numPr>
              <w:ind w:leftChars="0"/>
              <w:rPr>
                <w:lang w:eastAsia="zh-CN"/>
              </w:rPr>
            </w:pPr>
            <w:r w:rsidRPr="003749CB">
              <w:rPr>
                <w:rFonts w:hint="eastAsia"/>
                <w:lang w:eastAsia="zh-CN"/>
              </w:rPr>
              <w:t>FFS for the case of multiple active CG-PUSCH</w:t>
            </w:r>
          </w:p>
          <w:p w14:paraId="2BB46EC4" w14:textId="744DEF27" w:rsidR="00986086" w:rsidRPr="003749CB" w:rsidRDefault="003749CB" w:rsidP="003749CB">
            <w:pPr>
              <w:pStyle w:val="ad"/>
              <w:numPr>
                <w:ilvl w:val="2"/>
                <w:numId w:val="37"/>
              </w:numPr>
              <w:ind w:leftChars="0"/>
              <w:rPr>
                <w:lang w:eastAsia="zh-CN"/>
              </w:rPr>
            </w:pPr>
            <w:r w:rsidRPr="003749CB">
              <w:rPr>
                <w:lang w:eastAsia="zh-CN"/>
              </w:rPr>
              <w:t>Note: some companies have concern that this was not captured in the TR as one potential solutions</w:t>
            </w:r>
          </w:p>
        </w:tc>
      </w:tr>
    </w:tbl>
    <w:p w14:paraId="5F1A0F08" w14:textId="42C58FE4" w:rsidR="00E6765F" w:rsidRDefault="00986086">
      <w:pPr>
        <w:pStyle w:val="Doc"/>
      </w:pPr>
      <w:r>
        <w:lastRenderedPageBreak/>
        <w:t xml:space="preserve">In this contribution, we provide </w:t>
      </w:r>
      <w:r w:rsidR="00E6765F">
        <w:t>our</w:t>
      </w:r>
      <w:r w:rsidR="003E5441">
        <w:t xml:space="preserve"> view</w:t>
      </w:r>
      <w:r w:rsidR="00496AE9">
        <w:t>s</w:t>
      </w:r>
      <w:r w:rsidR="003E5441">
        <w:t xml:space="preserve"> inter-UE UL multiplexing</w:t>
      </w:r>
      <w:r w:rsidR="00DB060A">
        <w:t>.</w:t>
      </w:r>
      <w:r w:rsidR="005466EA">
        <w:t xml:space="preserve"> Particularly, we propose common signaling design for both UL cancelation scheme and enhanced UL power control scheme.</w:t>
      </w:r>
    </w:p>
    <w:p w14:paraId="1EBC9211" w14:textId="433C5D0F" w:rsidR="00F4560F" w:rsidRDefault="00F4560F" w:rsidP="00F527E8">
      <w:pPr>
        <w:pStyle w:val="1"/>
        <w:numPr>
          <w:ilvl w:val="0"/>
          <w:numId w:val="1"/>
        </w:numPr>
        <w:rPr>
          <w:rFonts w:eastAsia="바탕"/>
          <w:b/>
          <w:lang w:val="en-US" w:eastAsia="ko-KR"/>
        </w:rPr>
      </w:pPr>
      <w:r>
        <w:rPr>
          <w:rFonts w:eastAsia="바탕" w:hint="eastAsia"/>
          <w:b/>
          <w:lang w:val="en-US" w:eastAsia="ko-KR"/>
        </w:rPr>
        <w:t>UL cancelation indication</w:t>
      </w:r>
    </w:p>
    <w:p w14:paraId="1DB05C52" w14:textId="32325FC6" w:rsidR="004930AA" w:rsidRDefault="004930AA" w:rsidP="00A77880">
      <w:pPr>
        <w:pStyle w:val="1"/>
        <w:numPr>
          <w:ilvl w:val="1"/>
          <w:numId w:val="1"/>
        </w:numPr>
        <w:rPr>
          <w:rFonts w:eastAsia="바탕"/>
          <w:b/>
          <w:lang w:val="en-US" w:eastAsia="ko-KR"/>
        </w:rPr>
      </w:pPr>
      <w:r>
        <w:rPr>
          <w:rFonts w:eastAsia="바탕"/>
          <w:b/>
          <w:lang w:val="en-US" w:eastAsia="ko-KR"/>
        </w:rPr>
        <w:t>Group-common</w:t>
      </w:r>
      <w:r w:rsidRPr="004930AA">
        <w:rPr>
          <w:rFonts w:eastAsia="바탕"/>
          <w:b/>
          <w:lang w:val="en-US" w:eastAsia="ko-KR"/>
        </w:rPr>
        <w:t xml:space="preserve"> </w:t>
      </w:r>
      <w:r>
        <w:rPr>
          <w:rFonts w:eastAsia="바탕"/>
          <w:b/>
          <w:lang w:val="en-US" w:eastAsia="ko-KR"/>
        </w:rPr>
        <w:t xml:space="preserve">DCI </w:t>
      </w:r>
      <w:r>
        <w:rPr>
          <w:rFonts w:eastAsia="바탕" w:hint="eastAsia"/>
          <w:b/>
          <w:lang w:val="en-US" w:eastAsia="ko-KR"/>
        </w:rPr>
        <w:t>design</w:t>
      </w:r>
      <w:r>
        <w:rPr>
          <w:rFonts w:eastAsia="바탕"/>
          <w:b/>
          <w:lang w:val="en-US" w:eastAsia="ko-KR"/>
        </w:rPr>
        <w:t xml:space="preserve"> for UL cancelation indication</w:t>
      </w:r>
    </w:p>
    <w:p w14:paraId="435CE283" w14:textId="63F8559E" w:rsidR="004930AA" w:rsidRDefault="004930AA" w:rsidP="005C6319">
      <w:pPr>
        <w:pStyle w:val="Doc"/>
      </w:pPr>
      <w:r>
        <w:rPr>
          <w:rFonts w:eastAsiaTheme="minorEastAsia"/>
        </w:rPr>
        <w:t>F</w:t>
      </w:r>
      <w:r>
        <w:rPr>
          <w:rFonts w:eastAsiaTheme="minorEastAsia" w:hint="eastAsia"/>
        </w:rPr>
        <w:t xml:space="preserve">or </w:t>
      </w:r>
      <w:r>
        <w:rPr>
          <w:rFonts w:eastAsiaTheme="minorEastAsia"/>
        </w:rPr>
        <w:t xml:space="preserve">UL cancelation indication, </w:t>
      </w:r>
      <w:r w:rsidR="005C6319">
        <w:rPr>
          <w:rFonts w:eastAsiaTheme="minorEastAsia"/>
        </w:rPr>
        <w:t xml:space="preserve">group-common DCI would contain information on the time/frequency region to be canceled. </w:t>
      </w:r>
      <w:r w:rsidR="003863FC">
        <w:rPr>
          <w:rFonts w:eastAsiaTheme="minorEastAsia"/>
        </w:rPr>
        <w:t xml:space="preserve">If we </w:t>
      </w:r>
      <w:r w:rsidR="000669BD">
        <w:rPr>
          <w:rFonts w:eastAsiaTheme="minorEastAsia"/>
        </w:rPr>
        <w:t>recall DCI format 2_1</w:t>
      </w:r>
      <w:r w:rsidR="003863FC">
        <w:rPr>
          <w:rFonts w:eastAsiaTheme="minorEastAsia"/>
        </w:rPr>
        <w:t xml:space="preserve"> which indicates time/frequency region of no DL transm</w:t>
      </w:r>
      <w:r w:rsidR="000669BD">
        <w:rPr>
          <w:rFonts w:eastAsiaTheme="minorEastAsia"/>
        </w:rPr>
        <w:t>ission, a group-common DCI for UL cancelation could have similar design to DCI format 2_1.</w:t>
      </w:r>
    </w:p>
    <w:p w14:paraId="386E26F2" w14:textId="240A87A3" w:rsidR="000669BD" w:rsidRPr="000669BD" w:rsidRDefault="000669BD">
      <w:pPr>
        <w:pStyle w:val="proposal"/>
      </w:pPr>
      <w:r>
        <w:rPr>
          <w:rFonts w:hint="eastAsia"/>
        </w:rPr>
        <w:t xml:space="preserve">Proposal </w:t>
      </w:r>
      <w:r w:rsidR="006F213F">
        <w:t>1</w:t>
      </w:r>
      <w:r>
        <w:rPr>
          <w:rFonts w:hint="eastAsia"/>
        </w:rPr>
        <w:t xml:space="preserve">: For </w:t>
      </w:r>
      <w:r>
        <w:t>uplink inter-UE multiplexing in rel.16, DCI format 2_1 is considered as a baseline of the group-common signaling for UL cancelation indication.</w:t>
      </w:r>
      <w:bookmarkStart w:id="3" w:name="_GoBack"/>
      <w:bookmarkEnd w:id="3"/>
    </w:p>
    <w:p w14:paraId="76951BBF" w14:textId="55514562" w:rsidR="000669BD" w:rsidRDefault="000669BD" w:rsidP="000669BD">
      <w:pPr>
        <w:pStyle w:val="Doc"/>
      </w:pPr>
      <w:r>
        <w:rPr>
          <w:rFonts w:eastAsiaTheme="minorEastAsia"/>
        </w:rPr>
        <w:t xml:space="preserve">When group-common signaling is used for this method, </w:t>
      </w:r>
      <w:r>
        <w:t>it is difficult to align same UL BWPs among sharing the same group common channel. This can be done by network configuration, however, it will restrict considerably on UL BWP configuration or grouping UEs to the same group. In this sense, we propose to also consider adopting configurable reference resource in frequency domain. In terms of time resource, UL cancelation indication can refer the resources from the next OFDM symbol of end of PDCCH carrying group common to the OFDM symbol of next PDCCH carrying a group common. Considering processing time on group common and UE processing time to adjust power, additional delay can be also considered so that reference time has some offset from PDCCH carrying a group common signaling.</w:t>
      </w:r>
    </w:p>
    <w:p w14:paraId="335C4A24" w14:textId="43024850" w:rsidR="000669BD" w:rsidRPr="004930AA" w:rsidRDefault="000669BD" w:rsidP="000669BD">
      <w:pPr>
        <w:pStyle w:val="proposal"/>
      </w:pPr>
      <w:r>
        <w:rPr>
          <w:rFonts w:hint="eastAsia"/>
        </w:rPr>
        <w:t xml:space="preserve">Proposal </w:t>
      </w:r>
      <w:r w:rsidR="006F213F">
        <w:t>2</w:t>
      </w:r>
      <w:r>
        <w:t>: The reference frequency location of UL cancelation is configured by higher layer. The reference time domain is determined with consideration of UE processing time.</w:t>
      </w:r>
    </w:p>
    <w:p w14:paraId="09EF7484" w14:textId="13DE784E" w:rsidR="004C43FB" w:rsidRPr="004C43FB" w:rsidRDefault="004C43FB" w:rsidP="00A77880">
      <w:pPr>
        <w:pStyle w:val="1"/>
        <w:numPr>
          <w:ilvl w:val="1"/>
          <w:numId w:val="1"/>
        </w:numPr>
        <w:rPr>
          <w:rFonts w:eastAsia="바탕"/>
          <w:b/>
          <w:lang w:val="en-US" w:eastAsia="ko-KR"/>
        </w:rPr>
      </w:pPr>
      <w:r>
        <w:rPr>
          <w:rFonts w:eastAsia="바탕"/>
          <w:b/>
          <w:lang w:val="en-US" w:eastAsia="ko-KR"/>
        </w:rPr>
        <w:t>UE behavior related to UL cancelation indication</w:t>
      </w:r>
    </w:p>
    <w:p w14:paraId="40F3866D" w14:textId="60820D06" w:rsidR="00986086" w:rsidRDefault="002643CD" w:rsidP="00986086">
      <w:pPr>
        <w:pStyle w:val="Doc"/>
      </w:pPr>
      <w:r>
        <w:t>When UE get</w:t>
      </w:r>
      <w:r w:rsidR="00765704">
        <w:t>s</w:t>
      </w:r>
      <w:r>
        <w:t xml:space="preserve"> indication of UL resource cancelation</w:t>
      </w:r>
      <w:r w:rsidR="00986086">
        <w:rPr>
          <w:rFonts w:hint="eastAsia"/>
        </w:rPr>
        <w:t xml:space="preserve">, </w:t>
      </w:r>
      <w:r w:rsidR="00986086">
        <w:t xml:space="preserve">the UE behavior on the </w:t>
      </w:r>
      <w:r>
        <w:t xml:space="preserve">cancelled </w:t>
      </w:r>
      <w:r w:rsidR="00986086">
        <w:t>resources should be clarified. It is simple to drop ‘entire’ UL transmission in a slot if it’s partially or fully overlapping with indicated resources. However this can be very inefficient particularly if reserved resource spans only one or two OFDM symbols. Alternatively, if phase continuity can be maintained, we can consider to allow discontinuous transmission in time domain where discontinuity should not exceed the number of OFDM symbols to keep the phase continuity. At least when puncturing occurs in the last part of resource, shorter transmission with puncturing in the last few OFDM symbols can be considered. This approach may be possible for PUCCH/PUSCH whereas SRS and PRACH should be entirely dropped. When this approach is used for PUCCH/PUSCH, further consideration on DM-RS handling is necessary. To preserve DMRS resource elements, following options can be considered:</w:t>
      </w:r>
    </w:p>
    <w:p w14:paraId="5978CA41" w14:textId="77777777" w:rsidR="00986086" w:rsidRPr="00543797" w:rsidRDefault="00986086" w:rsidP="00986086">
      <w:pPr>
        <w:pStyle w:val="Doc"/>
        <w:numPr>
          <w:ilvl w:val="0"/>
          <w:numId w:val="4"/>
        </w:numPr>
        <w:ind w:firstLineChars="0"/>
      </w:pPr>
      <w:r>
        <w:rPr>
          <w:rFonts w:eastAsiaTheme="minorEastAsia" w:hint="eastAsia"/>
        </w:rPr>
        <w:lastRenderedPageBreak/>
        <w:t xml:space="preserve">Option 1: </w:t>
      </w:r>
      <w:r>
        <w:rPr>
          <w:rFonts w:eastAsiaTheme="minorEastAsia"/>
        </w:rPr>
        <w:t xml:space="preserve">A victim UE assumes that DMRS would not be preempted regardless of puncturing indication. A victim UE transmits DM-RS as scheduled unless the entire transmission is dropped. </w:t>
      </w:r>
      <w:r w:rsidDel="00380027">
        <w:rPr>
          <w:rFonts w:eastAsiaTheme="minorEastAsia"/>
        </w:rPr>
        <w:t xml:space="preserve"> </w:t>
      </w:r>
    </w:p>
    <w:p w14:paraId="09F40478" w14:textId="77777777" w:rsidR="00986086" w:rsidRPr="00543797" w:rsidRDefault="00986086" w:rsidP="00986086">
      <w:pPr>
        <w:pStyle w:val="Doc"/>
        <w:numPr>
          <w:ilvl w:val="0"/>
          <w:numId w:val="4"/>
        </w:numPr>
        <w:ind w:firstLineChars="0"/>
      </w:pPr>
      <w:r>
        <w:rPr>
          <w:rFonts w:eastAsiaTheme="minorEastAsia"/>
        </w:rPr>
        <w:t>Option 2: When</w:t>
      </w:r>
      <w:r>
        <w:rPr>
          <w:rFonts w:eastAsiaTheme="minorEastAsia" w:hint="eastAsia"/>
        </w:rPr>
        <w:t xml:space="preserve"> </w:t>
      </w:r>
      <w:r>
        <w:rPr>
          <w:rFonts w:eastAsiaTheme="minorEastAsia"/>
        </w:rPr>
        <w:t xml:space="preserve">PI indicates that DMRS symbol/RE is preempted, victim UE drop whole transmission associated with that DMRS. </w:t>
      </w:r>
    </w:p>
    <w:p w14:paraId="715C35CD" w14:textId="77777777" w:rsidR="00986086" w:rsidRDefault="00986086" w:rsidP="00986086">
      <w:pPr>
        <w:pStyle w:val="Doc"/>
      </w:pPr>
      <w:r>
        <w:rPr>
          <w:rFonts w:eastAsiaTheme="minorEastAsia" w:hint="eastAsia"/>
        </w:rPr>
        <w:t>A</w:t>
      </w:r>
      <w:r>
        <w:rPr>
          <w:rFonts w:eastAsiaTheme="minorEastAsia"/>
        </w:rPr>
        <w:t xml:space="preserve">s Option 1 limits scheduling flexibility for URLLC, we can simply consider Option 2 if PUCCH/PUSCH can be partially transmitted. </w:t>
      </w:r>
    </w:p>
    <w:p w14:paraId="7988DAE0" w14:textId="499D0592" w:rsidR="00986086" w:rsidRDefault="00986086" w:rsidP="00986086">
      <w:pPr>
        <w:pStyle w:val="proposal"/>
      </w:pPr>
      <w:r>
        <w:rPr>
          <w:rFonts w:hint="eastAsia"/>
        </w:rPr>
        <w:t xml:space="preserve">Proposal </w:t>
      </w:r>
      <w:r w:rsidR="006F213F">
        <w:t>3</w:t>
      </w:r>
      <w:r>
        <w:t xml:space="preserve">: Upon receiving a puncturing indication on a resource, </w:t>
      </w:r>
    </w:p>
    <w:p w14:paraId="1241C8AD" w14:textId="77777777" w:rsidR="00986086" w:rsidRDefault="00986086" w:rsidP="00986086">
      <w:pPr>
        <w:pStyle w:val="proposal"/>
        <w:numPr>
          <w:ilvl w:val="0"/>
          <w:numId w:val="5"/>
        </w:numPr>
      </w:pPr>
      <w:r>
        <w:t>For PRACH/SRS</w:t>
      </w:r>
    </w:p>
    <w:p w14:paraId="00BC4DB9" w14:textId="77777777" w:rsidR="00986086" w:rsidRDefault="00986086" w:rsidP="00986086">
      <w:pPr>
        <w:pStyle w:val="proposal"/>
        <w:numPr>
          <w:ilvl w:val="1"/>
          <w:numId w:val="5"/>
        </w:numPr>
      </w:pPr>
      <w:r>
        <w:t>Drop entire transmission</w:t>
      </w:r>
    </w:p>
    <w:p w14:paraId="52FE6083" w14:textId="77777777" w:rsidR="00986086" w:rsidRDefault="00986086" w:rsidP="00986086">
      <w:pPr>
        <w:pStyle w:val="proposal"/>
        <w:numPr>
          <w:ilvl w:val="0"/>
          <w:numId w:val="5"/>
        </w:numPr>
      </w:pPr>
      <w:r>
        <w:t>For PUCCH/PUSCH</w:t>
      </w:r>
    </w:p>
    <w:p w14:paraId="03C9652D" w14:textId="77777777" w:rsidR="00986086" w:rsidRDefault="00986086" w:rsidP="00986086">
      <w:pPr>
        <w:pStyle w:val="proposal"/>
        <w:numPr>
          <w:ilvl w:val="1"/>
          <w:numId w:val="5"/>
        </w:numPr>
      </w:pPr>
      <w:r>
        <w:t xml:space="preserve">Further consider dropping overlapping OFDM symbols only as long as puncturing is not overlapping with DM-RS. If puncturing overlaps with DM-RS resource, drop the entire transmission. </w:t>
      </w:r>
    </w:p>
    <w:p w14:paraId="55F91E3D" w14:textId="15D04F7A" w:rsidR="00986086" w:rsidRDefault="00986086" w:rsidP="00986086">
      <w:pPr>
        <w:pStyle w:val="proposal"/>
      </w:pPr>
      <w:r>
        <w:t xml:space="preserve"> </w:t>
      </w:r>
    </w:p>
    <w:p w14:paraId="7DCADBD7" w14:textId="7BF8B42F" w:rsidR="00F4560F" w:rsidRDefault="00F4560F" w:rsidP="00F4560F">
      <w:pPr>
        <w:pStyle w:val="1"/>
        <w:numPr>
          <w:ilvl w:val="0"/>
          <w:numId w:val="1"/>
        </w:numPr>
        <w:rPr>
          <w:rFonts w:eastAsiaTheme="minorEastAsia" w:cs="Arial"/>
          <w:b/>
          <w:szCs w:val="28"/>
          <w:lang w:val="en-US" w:eastAsia="ko-KR"/>
        </w:rPr>
      </w:pPr>
      <w:r>
        <w:rPr>
          <w:rFonts w:eastAsiaTheme="minorEastAsia" w:cs="Arial"/>
          <w:b/>
          <w:szCs w:val="28"/>
          <w:lang w:val="en-US" w:eastAsia="ko-KR"/>
        </w:rPr>
        <w:t>E</w:t>
      </w:r>
      <w:r>
        <w:rPr>
          <w:rFonts w:eastAsiaTheme="minorEastAsia" w:cs="Arial" w:hint="eastAsia"/>
          <w:b/>
          <w:szCs w:val="28"/>
          <w:lang w:val="en-US" w:eastAsia="ko-KR"/>
        </w:rPr>
        <w:t xml:space="preserve">nhanced </w:t>
      </w:r>
      <w:r>
        <w:rPr>
          <w:rFonts w:eastAsiaTheme="minorEastAsia" w:cs="Arial"/>
          <w:b/>
          <w:szCs w:val="28"/>
          <w:lang w:val="en-US" w:eastAsia="ko-KR"/>
        </w:rPr>
        <w:t>power control for URLLC</w:t>
      </w:r>
    </w:p>
    <w:p w14:paraId="4D882029" w14:textId="121D0B84" w:rsidR="0076102C" w:rsidRDefault="00717C99" w:rsidP="00A77880">
      <w:pPr>
        <w:pStyle w:val="Doc"/>
      </w:pPr>
      <w:r>
        <w:rPr>
          <w:rFonts w:hint="eastAsia"/>
        </w:rPr>
        <w:t xml:space="preserve">To boost transmit power of URLLC, </w:t>
      </w:r>
      <w:r>
        <w:t xml:space="preserve">it was agreed to down-select one of three options. For dynamic grant, there are two choices; Option 1 and Option 2. One is adjusting open-loop power control parameter, the other is enhancement for TPC of closed-loop power control. </w:t>
      </w:r>
      <w:r w:rsidR="005F1B8F">
        <w:t xml:space="preserve">These two options would result in the same gain effectively </w:t>
      </w:r>
      <w:r>
        <w:t xml:space="preserve">by careful configuration/indication by gNB. Therefore, </w:t>
      </w:r>
      <w:r w:rsidR="005F1B8F">
        <w:t>there would be</w:t>
      </w:r>
      <w:r>
        <w:t xml:space="preserve"> no </w:t>
      </w:r>
      <w:r w:rsidR="005F1B8F">
        <w:t xml:space="preserve">big </w:t>
      </w:r>
      <w:r>
        <w:t xml:space="preserve">performance difference between option 1 and option 2 </w:t>
      </w:r>
      <w:r w:rsidR="005F1B8F">
        <w:t xml:space="preserve">at least </w:t>
      </w:r>
      <w:r>
        <w:t>for dynamic grant.</w:t>
      </w:r>
      <w:r w:rsidR="0076102C">
        <w:t xml:space="preserve"> </w:t>
      </w:r>
    </w:p>
    <w:p w14:paraId="2C165280" w14:textId="6587DC87" w:rsidR="00F4560F" w:rsidRDefault="0076102C" w:rsidP="00A77880">
      <w:pPr>
        <w:pStyle w:val="Doc"/>
      </w:pPr>
      <w:r>
        <w:t xml:space="preserve">If option 1 is adopted, it is required to indicate power control </w:t>
      </w:r>
      <w:r w:rsidR="00426FF2">
        <w:t>parameter</w:t>
      </w:r>
      <w:r>
        <w:t xml:space="preserve"> in a UL grant. So it would increase DCI size of URLLC. Meanwhile, increased TPC range does not always mean increased TPC command bit</w:t>
      </w:r>
      <w:r w:rsidR="005F1B8F">
        <w:t xml:space="preserve"> size</w:t>
      </w:r>
      <w:r>
        <w:t>. Since</w:t>
      </w:r>
      <w:r w:rsidR="005F1B8F">
        <w:t xml:space="preserve"> the</w:t>
      </w:r>
      <w:r>
        <w:t xml:space="preserve"> number of entr</w:t>
      </w:r>
      <w:r w:rsidR="005F1B8F">
        <w:t>ies</w:t>
      </w:r>
      <w:r>
        <w:t xml:space="preserve"> and power offset of each entry </w:t>
      </w:r>
      <w:r w:rsidR="005F1B8F">
        <w:t>are</w:t>
      </w:r>
      <w:r>
        <w:t xml:space="preserve"> configurable, </w:t>
      </w:r>
      <w:r w:rsidR="00245F96">
        <w:t xml:space="preserve">it is the choice of gNB whether to increase </w:t>
      </w:r>
      <w:r w:rsidR="005F1B8F">
        <w:t xml:space="preserve">the </w:t>
      </w:r>
      <w:r w:rsidR="00245F96">
        <w:t>number of TPC entr</w:t>
      </w:r>
      <w:r w:rsidR="005F1B8F">
        <w:t>ies</w:t>
      </w:r>
      <w:r w:rsidR="00245F96">
        <w:t xml:space="preserve">. If we consider that inter-UE multiplexing does not happen always, configurable TPC table is more reasonable option for inter-UE multiplexing. </w:t>
      </w:r>
      <w:r w:rsidR="00C10CB3">
        <w:t>From this point of view and c</w:t>
      </w:r>
      <w:r>
        <w:t xml:space="preserve">onsidering specification </w:t>
      </w:r>
      <w:r w:rsidR="00426FF2">
        <w:t>impact</w:t>
      </w:r>
      <w:r>
        <w:t xml:space="preserve"> and limited time to discuss, it seems better to choose option 2. </w:t>
      </w:r>
    </w:p>
    <w:p w14:paraId="4994BFD4" w14:textId="282403F5" w:rsidR="007B60B5" w:rsidRDefault="0088733D" w:rsidP="00A77880">
      <w:pPr>
        <w:pStyle w:val="Doc"/>
        <w:rPr>
          <w:rFonts w:eastAsiaTheme="minorEastAsia"/>
        </w:rPr>
      </w:pPr>
      <w:r>
        <w:rPr>
          <w:rFonts w:eastAsiaTheme="minorEastAsia"/>
        </w:rPr>
        <w:t xml:space="preserve">If we choose option 2 for dynamic grant, </w:t>
      </w:r>
      <w:r w:rsidR="00C10CB3">
        <w:rPr>
          <w:rFonts w:eastAsiaTheme="minorEastAsia" w:hint="eastAsia"/>
        </w:rPr>
        <w:t>there are also two option</w:t>
      </w:r>
      <w:r w:rsidR="00426FF2">
        <w:rPr>
          <w:rFonts w:eastAsiaTheme="minorEastAsia"/>
        </w:rPr>
        <w:t>s</w:t>
      </w:r>
      <w:r>
        <w:rPr>
          <w:rFonts w:eastAsiaTheme="minorEastAsia"/>
        </w:rPr>
        <w:t xml:space="preserve"> for configured grant</w:t>
      </w:r>
      <w:r w:rsidR="00C10CB3">
        <w:rPr>
          <w:rFonts w:eastAsiaTheme="minorEastAsia" w:hint="eastAsia"/>
        </w:rPr>
        <w:t xml:space="preserve">; option 2 and option 3. </w:t>
      </w:r>
      <w:r w:rsidR="00C10CB3">
        <w:rPr>
          <w:rFonts w:eastAsiaTheme="minorEastAsia"/>
        </w:rPr>
        <w:t xml:space="preserve">Option 2 may have no problem since Rel.15 configured grant is already using TPC command for power control. </w:t>
      </w:r>
      <w:r w:rsidR="007B60B5">
        <w:rPr>
          <w:rFonts w:eastAsiaTheme="minorEastAsia"/>
        </w:rPr>
        <w:t xml:space="preserve">Even if UE </w:t>
      </w:r>
      <w:r w:rsidR="00426FF2">
        <w:rPr>
          <w:rFonts w:eastAsiaTheme="minorEastAsia"/>
        </w:rPr>
        <w:t>has</w:t>
      </w:r>
      <w:r w:rsidR="007B60B5">
        <w:rPr>
          <w:rFonts w:eastAsiaTheme="minorEastAsia"/>
        </w:rPr>
        <w:t xml:space="preserve"> multiple active configured grant, it may not make any changes for power control scheme. When UE received a TPC command, UE applies the TPC command to specific power control loop, not specific PUSCH or resources. Therefore, the actual question are whether to have additional power control loop and whether to configure configured grant with specific power control loop. Configured grant in release 15 already have a parameter to select power control loop and power control scheme in release 15 have two </w:t>
      </w:r>
      <w:r w:rsidR="007B60B5">
        <w:rPr>
          <w:rFonts w:eastAsiaTheme="minorEastAsia"/>
        </w:rPr>
        <w:lastRenderedPageBreak/>
        <w:t>closed power control loop and scalable design. It is hard to find any technical problem on using TPC for multiple active configured grant.</w:t>
      </w:r>
      <w:r w:rsidR="005A1821">
        <w:rPr>
          <w:rFonts w:eastAsiaTheme="minorEastAsia"/>
        </w:rPr>
        <w:t xml:space="preserve"> If a UE have different TPC table for different service or different grant type, TPC command bit size in group-common DCI can be determined by </w:t>
      </w:r>
      <w:r w:rsidR="00426FF2">
        <w:rPr>
          <w:rFonts w:eastAsiaTheme="minorEastAsia"/>
        </w:rPr>
        <w:t xml:space="preserve">the </w:t>
      </w:r>
      <w:r w:rsidR="005A1821">
        <w:rPr>
          <w:rFonts w:eastAsiaTheme="minorEastAsia"/>
        </w:rPr>
        <w:t>largest TPC table.</w:t>
      </w:r>
    </w:p>
    <w:p w14:paraId="78958A4B" w14:textId="4E623D58" w:rsidR="007B60B5" w:rsidRDefault="007B60B5" w:rsidP="00A77880">
      <w:pPr>
        <w:pStyle w:val="Doc"/>
        <w:rPr>
          <w:rFonts w:eastAsiaTheme="minorEastAsia"/>
        </w:rPr>
      </w:pPr>
      <w:r>
        <w:rPr>
          <w:rFonts w:eastAsiaTheme="minorEastAsia"/>
        </w:rPr>
        <w:t xml:space="preserve">The benefit of Option 3 is that UL cancelation indication for eMBB can be used as power control for URLLC transmission. By unifying those two signals, Option 3 may bring some benefit in terms of PDCCH blocking issue. </w:t>
      </w:r>
      <w:r w:rsidR="0095012A">
        <w:rPr>
          <w:rFonts w:eastAsiaTheme="minorEastAsia"/>
        </w:rPr>
        <w:t>However, one thing is that TPC via group common DCI also can be sent to both eMBB and URLLC UE. Moreover, it does not make any sense to prohibit configured TPC table for configured grant though dynamic grant can utilized that. It is not aligned with release 15 principle that configured grant and dynamic grant have no difference on power control scheme.</w:t>
      </w:r>
    </w:p>
    <w:p w14:paraId="62E4E1B7" w14:textId="52C4A4D1" w:rsidR="0095012A" w:rsidRDefault="0088733D" w:rsidP="00A77880">
      <w:pPr>
        <w:pStyle w:val="Doc"/>
        <w:rPr>
          <w:rFonts w:eastAsiaTheme="minorEastAsia"/>
        </w:rPr>
      </w:pPr>
      <w:r>
        <w:rPr>
          <w:rFonts w:eastAsiaTheme="minorEastAsia" w:hint="eastAsia"/>
        </w:rPr>
        <w:t xml:space="preserve">Based on those situation, we prefer option 2 from listed options for configured grant </w:t>
      </w:r>
      <w:r>
        <w:rPr>
          <w:rFonts w:eastAsiaTheme="minorEastAsia"/>
        </w:rPr>
        <w:t>as well.</w:t>
      </w:r>
    </w:p>
    <w:p w14:paraId="0E0AE374" w14:textId="775D056C" w:rsidR="0088733D" w:rsidRDefault="0088733D" w:rsidP="00A77880">
      <w:pPr>
        <w:pStyle w:val="proposal"/>
      </w:pPr>
      <w:r>
        <w:rPr>
          <w:rFonts w:hint="eastAsia"/>
        </w:rPr>
        <w:t>Proposal</w:t>
      </w:r>
      <w:r>
        <w:t xml:space="preserve"> </w:t>
      </w:r>
      <w:r w:rsidR="006F213F">
        <w:t>4</w:t>
      </w:r>
      <w:r w:rsidR="000C033A">
        <w:t>: To</w:t>
      </w:r>
      <w:r>
        <w:t xml:space="preserve"> enhance power control</w:t>
      </w:r>
      <w:r w:rsidR="000C033A">
        <w:t xml:space="preserve"> for URLLC</w:t>
      </w:r>
      <w:r>
        <w:t>, Option 2 is adopted for both dynamic grant and configured grant.</w:t>
      </w:r>
    </w:p>
    <w:p w14:paraId="108652AC" w14:textId="6AB0A3CE" w:rsidR="00104327" w:rsidRDefault="0014562F">
      <w:pPr>
        <w:pStyle w:val="1"/>
        <w:numPr>
          <w:ilvl w:val="0"/>
          <w:numId w:val="1"/>
        </w:numPr>
        <w:rPr>
          <w:rFonts w:eastAsiaTheme="minorEastAsia" w:cs="Arial"/>
          <w:b/>
          <w:szCs w:val="28"/>
          <w:lang w:val="en-US" w:eastAsia="ko-KR"/>
        </w:rPr>
      </w:pPr>
      <w:r>
        <w:rPr>
          <w:rFonts w:eastAsiaTheme="minorEastAsia" w:cs="Arial"/>
          <w:b/>
          <w:szCs w:val="28"/>
          <w:lang w:val="en-US" w:eastAsia="ko-KR"/>
        </w:rPr>
        <w:t>Common signaling design for UL cancelation and power control</w:t>
      </w:r>
    </w:p>
    <w:p w14:paraId="15890DF3" w14:textId="783A951D" w:rsidR="0014562F" w:rsidRDefault="0014562F" w:rsidP="00637E79">
      <w:pPr>
        <w:pStyle w:val="Doc"/>
        <w:rPr>
          <w:rFonts w:eastAsiaTheme="minorEastAsia"/>
        </w:rPr>
      </w:pPr>
      <w:r>
        <w:rPr>
          <w:rFonts w:eastAsiaTheme="minorEastAsia"/>
        </w:rPr>
        <w:t>Up to situation, networks may need to use both scheme</w:t>
      </w:r>
      <w:r w:rsidR="00765704">
        <w:rPr>
          <w:rFonts w:eastAsiaTheme="minorEastAsia"/>
        </w:rPr>
        <w:t>s</w:t>
      </w:r>
      <w:r>
        <w:rPr>
          <w:rFonts w:eastAsiaTheme="minorEastAsia"/>
        </w:rPr>
        <w:t xml:space="preserve"> for URLLC transmission. For example, when multiple URLLC traffic comes, some URLLC UE could be in power-limited situation. Or, in reverse, some eMBB resource are not able to be cancelled by some reasons. So, network may need to support both signaling at same time. For those case, it would be beneficial to support common signaling for both UL cancelation and power control </w:t>
      </w:r>
    </w:p>
    <w:p w14:paraId="21304241" w14:textId="45D2A83F" w:rsidR="0014562F" w:rsidRDefault="00510CCE" w:rsidP="009D362B">
      <w:pPr>
        <w:pStyle w:val="Doc"/>
        <w:rPr>
          <w:rFonts w:eastAsiaTheme="minorEastAsia"/>
        </w:rPr>
      </w:pPr>
      <w:r>
        <w:rPr>
          <w:rFonts w:eastAsiaTheme="minorEastAsia"/>
        </w:rPr>
        <w:t xml:space="preserve">In terms of UE behavior, a group-common DCI for UL cancelation would set uplink transmit power to zero. So, it is also possible to mix up the design of DCI format 2_1 and 2_2 for UL cancelation. For example, a group common DCI may indicates a time/frequency region and a TPC command corresponding to the region. </w:t>
      </w:r>
      <w:r w:rsidR="005A2A40">
        <w:rPr>
          <w:rFonts w:eastAsiaTheme="minorEastAsia"/>
        </w:rPr>
        <w:t xml:space="preserve">When some time/frequency </w:t>
      </w:r>
      <w:r>
        <w:rPr>
          <w:rFonts w:eastAsiaTheme="minorEastAsia"/>
        </w:rPr>
        <w:t xml:space="preserve">region </w:t>
      </w:r>
      <w:r w:rsidR="005A2A40">
        <w:rPr>
          <w:rFonts w:eastAsiaTheme="minorEastAsia"/>
        </w:rPr>
        <w:t xml:space="preserve">is indicated </w:t>
      </w:r>
      <w:r>
        <w:rPr>
          <w:rFonts w:eastAsiaTheme="minorEastAsia"/>
        </w:rPr>
        <w:t>via this DCI</w:t>
      </w:r>
      <w:r w:rsidR="005A2A40">
        <w:rPr>
          <w:rFonts w:eastAsiaTheme="minorEastAsia"/>
        </w:rPr>
        <w:t xml:space="preserve">, </w:t>
      </w:r>
      <w:r w:rsidR="009D362B">
        <w:rPr>
          <w:rFonts w:eastAsiaTheme="minorEastAsia"/>
        </w:rPr>
        <w:t xml:space="preserve">each UE may change TX power of corresponding PUSCH by TPC command. In addition to this, </w:t>
      </w:r>
      <w:r w:rsidR="00420D05">
        <w:rPr>
          <w:rFonts w:eastAsiaTheme="minorEastAsia"/>
        </w:rPr>
        <w:t xml:space="preserve">network can turn off eMBB TX power and boost URLLC TX power </w:t>
      </w:r>
      <w:r w:rsidR="005A2A40">
        <w:rPr>
          <w:rFonts w:eastAsiaTheme="minorEastAsia"/>
        </w:rPr>
        <w:t xml:space="preserve">with single </w:t>
      </w:r>
      <w:r w:rsidR="009D362B">
        <w:rPr>
          <w:rFonts w:eastAsiaTheme="minorEastAsia"/>
        </w:rPr>
        <w:t>TPC command i</w:t>
      </w:r>
      <w:r w:rsidR="005A2A40">
        <w:rPr>
          <w:rFonts w:eastAsiaTheme="minorEastAsia"/>
        </w:rPr>
        <w:t xml:space="preserve">f </w:t>
      </w:r>
      <w:r w:rsidR="009D362B">
        <w:rPr>
          <w:rFonts w:eastAsiaTheme="minorEastAsia"/>
        </w:rPr>
        <w:t>separated TPC table is used for eMBB and URLLC like below. By using this kind of table, power control scheme can be applied even if URLLC UE is power-limited.</w:t>
      </w:r>
    </w:p>
    <w:tbl>
      <w:tblPr>
        <w:tblStyle w:val="a3"/>
        <w:tblW w:w="0" w:type="auto"/>
        <w:jc w:val="center"/>
        <w:tblLook w:val="04A0" w:firstRow="1" w:lastRow="0" w:firstColumn="1" w:lastColumn="0" w:noHBand="0" w:noVBand="1"/>
      </w:tblPr>
      <w:tblGrid>
        <w:gridCol w:w="2126"/>
        <w:gridCol w:w="2126"/>
        <w:gridCol w:w="2127"/>
      </w:tblGrid>
      <w:tr w:rsidR="005A2A40" w14:paraId="4C292A40" w14:textId="77777777" w:rsidTr="005A2A40">
        <w:trPr>
          <w:trHeight w:val="379"/>
          <w:jc w:val="center"/>
        </w:trPr>
        <w:tc>
          <w:tcPr>
            <w:tcW w:w="2126" w:type="dxa"/>
          </w:tcPr>
          <w:p w14:paraId="0BBC1555" w14:textId="4CB2DDBD" w:rsidR="005A2A40" w:rsidRDefault="005A2A40" w:rsidP="005A2A40">
            <w:pPr>
              <w:pStyle w:val="Doc"/>
              <w:ind w:firstLineChars="0" w:firstLine="0"/>
              <w:jc w:val="center"/>
              <w:rPr>
                <w:rFonts w:eastAsiaTheme="minorEastAsia"/>
              </w:rPr>
            </w:pPr>
            <w:r>
              <w:rPr>
                <w:rFonts w:eastAsiaTheme="minorEastAsia"/>
              </w:rPr>
              <w:t>TPC command</w:t>
            </w:r>
          </w:p>
        </w:tc>
        <w:tc>
          <w:tcPr>
            <w:tcW w:w="2126" w:type="dxa"/>
          </w:tcPr>
          <w:p w14:paraId="498B1C5E" w14:textId="7A7775FD" w:rsidR="005A2A40" w:rsidRDefault="005A2A40" w:rsidP="005A2A40">
            <w:pPr>
              <w:pStyle w:val="Doc"/>
              <w:ind w:firstLineChars="0" w:firstLine="0"/>
              <w:jc w:val="center"/>
              <w:rPr>
                <w:rFonts w:eastAsiaTheme="minorEastAsia"/>
              </w:rPr>
            </w:pPr>
            <m:oMath>
              <m:r>
                <w:rPr>
                  <w:rFonts w:ascii="Cambria Math" w:eastAsiaTheme="minorEastAsia" w:hAnsi="Cambria Math"/>
                </w:rPr>
                <m:t>δ</m:t>
              </m:r>
            </m:oMath>
            <w:r>
              <w:rPr>
                <w:rFonts w:eastAsiaTheme="minorEastAsia" w:hint="eastAsia"/>
              </w:rPr>
              <w:t xml:space="preserve"> </w:t>
            </w:r>
            <w:r>
              <w:rPr>
                <w:rFonts w:eastAsiaTheme="minorEastAsia"/>
              </w:rPr>
              <w:t>for eMBB</w:t>
            </w:r>
            <w:r w:rsidR="00765704">
              <w:rPr>
                <w:rFonts w:eastAsiaTheme="minorEastAsia"/>
              </w:rPr>
              <w:t xml:space="preserve"> [dB]</w:t>
            </w:r>
          </w:p>
        </w:tc>
        <w:tc>
          <w:tcPr>
            <w:tcW w:w="2127" w:type="dxa"/>
          </w:tcPr>
          <w:p w14:paraId="78CC2EB7" w14:textId="53F65FDF" w:rsidR="005A2A40" w:rsidRDefault="005A2A40" w:rsidP="005A2A40">
            <w:pPr>
              <w:pStyle w:val="Doc"/>
              <w:ind w:firstLineChars="0" w:firstLine="0"/>
              <w:jc w:val="center"/>
              <w:rPr>
                <w:rFonts w:eastAsiaTheme="minorEastAsia"/>
              </w:rPr>
            </w:pPr>
            <m:oMath>
              <m:r>
                <w:rPr>
                  <w:rFonts w:ascii="Cambria Math" w:eastAsiaTheme="minorEastAsia" w:hAnsi="Cambria Math"/>
                </w:rPr>
                <m:t>δ</m:t>
              </m:r>
            </m:oMath>
            <w:r>
              <w:rPr>
                <w:rFonts w:eastAsiaTheme="minorEastAsia"/>
              </w:rPr>
              <w:t xml:space="preserve"> for URLLC</w:t>
            </w:r>
            <w:r w:rsidR="00765704">
              <w:rPr>
                <w:rFonts w:eastAsiaTheme="minorEastAsia"/>
              </w:rPr>
              <w:t xml:space="preserve"> [dB]</w:t>
            </w:r>
          </w:p>
        </w:tc>
      </w:tr>
      <w:tr w:rsidR="005A2A40" w14:paraId="0DB300D7" w14:textId="77777777" w:rsidTr="005A2A40">
        <w:trPr>
          <w:trHeight w:val="379"/>
          <w:jc w:val="center"/>
        </w:trPr>
        <w:tc>
          <w:tcPr>
            <w:tcW w:w="2126" w:type="dxa"/>
          </w:tcPr>
          <w:p w14:paraId="6246B82F" w14:textId="0B538899" w:rsidR="005A2A40" w:rsidRDefault="005A2A40" w:rsidP="005A2A40">
            <w:pPr>
              <w:pStyle w:val="Doc"/>
              <w:ind w:firstLineChars="0" w:firstLine="0"/>
              <w:jc w:val="center"/>
              <w:rPr>
                <w:rFonts w:eastAsiaTheme="minorEastAsia"/>
              </w:rPr>
            </w:pPr>
            <w:r>
              <w:rPr>
                <w:rFonts w:eastAsiaTheme="minorEastAsia" w:hint="eastAsia"/>
              </w:rPr>
              <w:t>0</w:t>
            </w:r>
          </w:p>
        </w:tc>
        <w:tc>
          <w:tcPr>
            <w:tcW w:w="2126" w:type="dxa"/>
          </w:tcPr>
          <w:p w14:paraId="4E14C23C" w14:textId="69BC7915" w:rsidR="005A2A40" w:rsidRDefault="009D362B" w:rsidP="005A2A40">
            <w:pPr>
              <w:pStyle w:val="Doc"/>
              <w:ind w:firstLineChars="0" w:firstLine="0"/>
              <w:jc w:val="center"/>
              <w:rPr>
                <w:rFonts w:eastAsiaTheme="minorEastAsia"/>
              </w:rPr>
            </w:pPr>
            <w:r>
              <w:rPr>
                <w:rFonts w:eastAsiaTheme="minorEastAsia" w:hint="eastAsia"/>
              </w:rPr>
              <w:t>0</w:t>
            </w:r>
          </w:p>
        </w:tc>
        <w:tc>
          <w:tcPr>
            <w:tcW w:w="2127" w:type="dxa"/>
          </w:tcPr>
          <w:p w14:paraId="0D6C4580" w14:textId="4611D7F9" w:rsidR="005A2A40" w:rsidRDefault="009D362B" w:rsidP="005A2A40">
            <w:pPr>
              <w:pStyle w:val="Doc"/>
              <w:ind w:firstLineChars="0" w:firstLine="0"/>
              <w:jc w:val="center"/>
              <w:rPr>
                <w:rFonts w:eastAsiaTheme="minorEastAsia"/>
              </w:rPr>
            </w:pPr>
            <w:r>
              <w:rPr>
                <w:rFonts w:eastAsiaTheme="minorEastAsia" w:hint="eastAsia"/>
              </w:rPr>
              <w:t>3</w:t>
            </w:r>
          </w:p>
        </w:tc>
      </w:tr>
      <w:tr w:rsidR="005A2A40" w14:paraId="65AAE610" w14:textId="77777777" w:rsidTr="005A2A40">
        <w:trPr>
          <w:trHeight w:val="379"/>
          <w:jc w:val="center"/>
        </w:trPr>
        <w:tc>
          <w:tcPr>
            <w:tcW w:w="2126" w:type="dxa"/>
          </w:tcPr>
          <w:p w14:paraId="2733FA92" w14:textId="4A4BA5F4" w:rsidR="005A2A40" w:rsidRDefault="005A2A40" w:rsidP="005A2A40">
            <w:pPr>
              <w:pStyle w:val="Doc"/>
              <w:ind w:firstLineChars="0" w:firstLine="0"/>
              <w:jc w:val="center"/>
              <w:rPr>
                <w:rFonts w:eastAsiaTheme="minorEastAsia"/>
              </w:rPr>
            </w:pPr>
            <w:r>
              <w:rPr>
                <w:rFonts w:eastAsiaTheme="minorEastAsia" w:hint="eastAsia"/>
              </w:rPr>
              <w:t>1</w:t>
            </w:r>
          </w:p>
        </w:tc>
        <w:tc>
          <w:tcPr>
            <w:tcW w:w="2126" w:type="dxa"/>
          </w:tcPr>
          <w:p w14:paraId="10206AF0" w14:textId="65517FDA" w:rsidR="005A2A40" w:rsidRDefault="009D362B" w:rsidP="005A2A40">
            <w:pPr>
              <w:pStyle w:val="Doc"/>
              <w:ind w:firstLineChars="0" w:firstLine="0"/>
              <w:jc w:val="center"/>
              <w:rPr>
                <w:rFonts w:eastAsiaTheme="minorEastAsia"/>
              </w:rPr>
            </w:pPr>
            <w:r>
              <w:rPr>
                <w:rFonts w:eastAsiaTheme="minorEastAsia" w:hint="eastAsia"/>
              </w:rPr>
              <w:t>-1</w:t>
            </w:r>
          </w:p>
        </w:tc>
        <w:tc>
          <w:tcPr>
            <w:tcW w:w="2127" w:type="dxa"/>
          </w:tcPr>
          <w:p w14:paraId="46B33FFF" w14:textId="099A6BA5" w:rsidR="005A2A40" w:rsidRDefault="009D362B" w:rsidP="005A2A40">
            <w:pPr>
              <w:pStyle w:val="Doc"/>
              <w:ind w:firstLineChars="0" w:firstLine="0"/>
              <w:jc w:val="center"/>
              <w:rPr>
                <w:rFonts w:eastAsiaTheme="minorEastAsia"/>
              </w:rPr>
            </w:pPr>
            <w:r>
              <w:rPr>
                <w:rFonts w:eastAsiaTheme="minorEastAsia" w:hint="eastAsia"/>
              </w:rPr>
              <w:t>2</w:t>
            </w:r>
          </w:p>
        </w:tc>
      </w:tr>
      <w:tr w:rsidR="005A2A40" w14:paraId="62A4943F" w14:textId="77777777" w:rsidTr="005A2A40">
        <w:trPr>
          <w:trHeight w:val="379"/>
          <w:jc w:val="center"/>
        </w:trPr>
        <w:tc>
          <w:tcPr>
            <w:tcW w:w="2126" w:type="dxa"/>
          </w:tcPr>
          <w:p w14:paraId="6848D824" w14:textId="3055E612" w:rsidR="005A2A40" w:rsidRDefault="005A2A40" w:rsidP="005A2A40">
            <w:pPr>
              <w:pStyle w:val="Doc"/>
              <w:ind w:firstLineChars="0" w:firstLine="0"/>
              <w:jc w:val="center"/>
              <w:rPr>
                <w:rFonts w:eastAsiaTheme="minorEastAsia"/>
              </w:rPr>
            </w:pPr>
            <w:r>
              <w:rPr>
                <w:rFonts w:eastAsiaTheme="minorEastAsia" w:hint="eastAsia"/>
              </w:rPr>
              <w:t>2</w:t>
            </w:r>
          </w:p>
        </w:tc>
        <w:tc>
          <w:tcPr>
            <w:tcW w:w="2126" w:type="dxa"/>
          </w:tcPr>
          <w:p w14:paraId="4D98BF3C" w14:textId="5F4DF33E" w:rsidR="005A2A40" w:rsidRDefault="009D362B" w:rsidP="005A2A40">
            <w:pPr>
              <w:pStyle w:val="Doc"/>
              <w:ind w:firstLineChars="0" w:firstLine="0"/>
              <w:jc w:val="center"/>
              <w:rPr>
                <w:rFonts w:eastAsiaTheme="minorEastAsia"/>
              </w:rPr>
            </w:pPr>
            <w:r>
              <w:rPr>
                <w:rFonts w:eastAsiaTheme="minorEastAsia" w:hint="eastAsia"/>
              </w:rPr>
              <w:t>-2</w:t>
            </w:r>
          </w:p>
        </w:tc>
        <w:tc>
          <w:tcPr>
            <w:tcW w:w="2127" w:type="dxa"/>
          </w:tcPr>
          <w:p w14:paraId="77ED38AF" w14:textId="0EBD3059" w:rsidR="005A2A40" w:rsidRDefault="009D362B" w:rsidP="005A2A40">
            <w:pPr>
              <w:pStyle w:val="Doc"/>
              <w:ind w:firstLineChars="0" w:firstLine="0"/>
              <w:jc w:val="center"/>
              <w:rPr>
                <w:rFonts w:eastAsiaTheme="minorEastAsia"/>
              </w:rPr>
            </w:pPr>
            <w:r>
              <w:rPr>
                <w:rFonts w:eastAsiaTheme="minorEastAsia" w:hint="eastAsia"/>
              </w:rPr>
              <w:t>1</w:t>
            </w:r>
          </w:p>
        </w:tc>
      </w:tr>
      <w:tr w:rsidR="005A2A40" w14:paraId="7E722656" w14:textId="77777777" w:rsidTr="005A2A40">
        <w:trPr>
          <w:trHeight w:val="379"/>
          <w:jc w:val="center"/>
        </w:trPr>
        <w:tc>
          <w:tcPr>
            <w:tcW w:w="2126" w:type="dxa"/>
          </w:tcPr>
          <w:p w14:paraId="5ED82CB2" w14:textId="33E8EE05" w:rsidR="005A2A40" w:rsidRDefault="005A2A40" w:rsidP="005A2A40">
            <w:pPr>
              <w:pStyle w:val="Doc"/>
              <w:ind w:firstLineChars="0" w:firstLine="0"/>
              <w:jc w:val="center"/>
              <w:rPr>
                <w:rFonts w:eastAsiaTheme="minorEastAsia"/>
              </w:rPr>
            </w:pPr>
            <w:r>
              <w:rPr>
                <w:rFonts w:eastAsiaTheme="minorEastAsia" w:hint="eastAsia"/>
              </w:rPr>
              <w:t>3</w:t>
            </w:r>
          </w:p>
        </w:tc>
        <w:tc>
          <w:tcPr>
            <w:tcW w:w="2126" w:type="dxa"/>
          </w:tcPr>
          <w:p w14:paraId="26379384" w14:textId="2B2565EB" w:rsidR="005A2A40" w:rsidRDefault="005A2A40" w:rsidP="005A2A40">
            <w:pPr>
              <w:pStyle w:val="Doc"/>
              <w:ind w:firstLineChars="0" w:firstLine="0"/>
              <w:jc w:val="center"/>
              <w:rPr>
                <w:rFonts w:eastAsiaTheme="minorEastAsia"/>
              </w:rPr>
            </w:pPr>
            <w:r>
              <w:rPr>
                <w:rFonts w:eastAsiaTheme="minorEastAsia" w:hint="eastAsia"/>
              </w:rPr>
              <w:t>TX off</w:t>
            </w:r>
          </w:p>
        </w:tc>
        <w:tc>
          <w:tcPr>
            <w:tcW w:w="2127" w:type="dxa"/>
          </w:tcPr>
          <w:p w14:paraId="3D22E32E" w14:textId="5A95D0D8" w:rsidR="005A2A40" w:rsidRDefault="005A2A40" w:rsidP="005A2A40">
            <w:pPr>
              <w:pStyle w:val="Doc"/>
              <w:ind w:firstLineChars="0" w:firstLine="0"/>
              <w:jc w:val="center"/>
              <w:rPr>
                <w:rFonts w:eastAsiaTheme="minorEastAsia"/>
              </w:rPr>
            </w:pPr>
            <w:r>
              <w:rPr>
                <w:rFonts w:eastAsiaTheme="minorEastAsia" w:hint="eastAsia"/>
              </w:rPr>
              <w:t>0</w:t>
            </w:r>
          </w:p>
        </w:tc>
      </w:tr>
    </w:tbl>
    <w:p w14:paraId="371C2630" w14:textId="00624900" w:rsidR="0014562F" w:rsidRDefault="009D362B" w:rsidP="009D362B">
      <w:pPr>
        <w:pStyle w:val="Doc"/>
        <w:jc w:val="center"/>
        <w:rPr>
          <w:rFonts w:eastAsiaTheme="minorEastAsia"/>
        </w:rPr>
      </w:pPr>
      <w:r>
        <w:rPr>
          <w:rFonts w:eastAsiaTheme="minorEastAsia" w:hint="eastAsia"/>
        </w:rPr>
        <w:t xml:space="preserve">Table. </w:t>
      </w:r>
      <w:r>
        <w:rPr>
          <w:rFonts w:eastAsiaTheme="minorEastAsia"/>
        </w:rPr>
        <w:t>1 an example of separated TPC mapping table</w:t>
      </w:r>
    </w:p>
    <w:p w14:paraId="5D6F06F3" w14:textId="3D8D563F" w:rsidR="004D5DD6" w:rsidRDefault="004D5DD6" w:rsidP="004D5DD6">
      <w:pPr>
        <w:pStyle w:val="proposal"/>
      </w:pPr>
      <w:r>
        <w:rPr>
          <w:rFonts w:hint="eastAsia"/>
        </w:rPr>
        <w:lastRenderedPageBreak/>
        <w:t xml:space="preserve">Proposal </w:t>
      </w:r>
      <w:r w:rsidR="006F213F">
        <w:t>5</w:t>
      </w:r>
      <w:r>
        <w:t xml:space="preserve">: For UL cancelation indication and power </w:t>
      </w:r>
      <w:r>
        <w:rPr>
          <w:rFonts w:hint="eastAsia"/>
        </w:rPr>
        <w:t>con</w:t>
      </w:r>
      <w:r>
        <w:t xml:space="preserve">trol scheme, it is necessary to investigate common signaling design for reducing signaling overhead and power-limited URLLC UE </w:t>
      </w:r>
    </w:p>
    <w:p w14:paraId="345AC22C" w14:textId="77777777" w:rsidR="00986086" w:rsidRPr="005E31A4" w:rsidRDefault="00986086" w:rsidP="00986086">
      <w:pPr>
        <w:pStyle w:val="1"/>
        <w:numPr>
          <w:ilvl w:val="0"/>
          <w:numId w:val="1"/>
        </w:numPr>
        <w:rPr>
          <w:rFonts w:eastAsia="바탕"/>
          <w:b/>
          <w:lang w:val="en-US" w:eastAsia="ko-KR"/>
        </w:rPr>
      </w:pPr>
      <w:r>
        <w:rPr>
          <w:rFonts w:eastAsia="바탕"/>
          <w:b/>
          <w:lang w:val="en-US" w:eastAsia="ko-KR"/>
        </w:rPr>
        <w:t>C</w:t>
      </w:r>
      <w:r w:rsidRPr="005E31A4">
        <w:rPr>
          <w:rFonts w:eastAsia="바탕"/>
          <w:b/>
          <w:lang w:val="en-US" w:eastAsia="ko-KR"/>
        </w:rPr>
        <w:t>onclusion</w:t>
      </w:r>
    </w:p>
    <w:p w14:paraId="18D7EE39" w14:textId="77777777" w:rsidR="00986086" w:rsidRDefault="00986086" w:rsidP="00986086">
      <w:pPr>
        <w:pStyle w:val="Doc"/>
      </w:pPr>
      <w:r w:rsidRPr="003E43CC">
        <w:t>In this contribution, we dis</w:t>
      </w:r>
      <w:r>
        <w:rPr>
          <w:rFonts w:hint="eastAsia"/>
        </w:rPr>
        <w:t>c</w:t>
      </w:r>
      <w:r w:rsidRPr="003E43CC">
        <w:t xml:space="preserve">uss </w:t>
      </w:r>
      <w:r w:rsidRPr="00081907">
        <w:t xml:space="preserve">on method for sharing </w:t>
      </w:r>
      <w:r>
        <w:t xml:space="preserve">uplink </w:t>
      </w:r>
      <w:r w:rsidRPr="00081907">
        <w:t xml:space="preserve">resource between </w:t>
      </w:r>
      <w:r>
        <w:t>transmissions having different requirements</w:t>
      </w:r>
      <w:r w:rsidRPr="00FA1C7B">
        <w:t>. O</w:t>
      </w:r>
      <w:r w:rsidRPr="00B71BBC">
        <w:t>ur proposals are as follows</w:t>
      </w:r>
      <w:r>
        <w:t>:</w:t>
      </w:r>
    </w:p>
    <w:p w14:paraId="22259C64" w14:textId="301681FE" w:rsidR="00393537" w:rsidRPr="000669BD" w:rsidRDefault="00393537" w:rsidP="00393537">
      <w:pPr>
        <w:pStyle w:val="proposal"/>
      </w:pPr>
      <w:r>
        <w:rPr>
          <w:rFonts w:hint="eastAsia"/>
        </w:rPr>
        <w:t xml:space="preserve">Proposal </w:t>
      </w:r>
      <w:r>
        <w:t>1</w:t>
      </w:r>
      <w:r>
        <w:rPr>
          <w:rFonts w:hint="eastAsia"/>
        </w:rPr>
        <w:t xml:space="preserve">: For </w:t>
      </w:r>
      <w:r>
        <w:t>uplink inter-UE multiplexing in rel.16, DCI format 2_1 is considered as a baseline of the group-common signaling for UL cancelation indication.</w:t>
      </w:r>
    </w:p>
    <w:p w14:paraId="17ED7A27" w14:textId="6A85C7A2" w:rsidR="00393537" w:rsidRPr="004930AA" w:rsidRDefault="00393537" w:rsidP="00393537">
      <w:pPr>
        <w:pStyle w:val="proposal"/>
      </w:pPr>
      <w:r>
        <w:rPr>
          <w:rFonts w:hint="eastAsia"/>
        </w:rPr>
        <w:t xml:space="preserve">Proposal </w:t>
      </w:r>
      <w:r>
        <w:t>2: The reference frequency location of UL cancelation is configured by higher layer. The reference time domain is determined with consideration of UE processing time.</w:t>
      </w:r>
    </w:p>
    <w:p w14:paraId="0C73EB22" w14:textId="2948944E" w:rsidR="00393537" w:rsidRDefault="00393537" w:rsidP="00393537">
      <w:pPr>
        <w:pStyle w:val="proposal"/>
      </w:pPr>
      <w:r>
        <w:rPr>
          <w:rFonts w:hint="eastAsia"/>
        </w:rPr>
        <w:t xml:space="preserve">Proposal </w:t>
      </w:r>
      <w:r>
        <w:t xml:space="preserve">3: Upon receiving a puncturing indication on a resource, </w:t>
      </w:r>
    </w:p>
    <w:p w14:paraId="56103D55" w14:textId="77777777" w:rsidR="00393537" w:rsidRDefault="00393537" w:rsidP="00393537">
      <w:pPr>
        <w:pStyle w:val="proposal"/>
        <w:numPr>
          <w:ilvl w:val="0"/>
          <w:numId w:val="5"/>
        </w:numPr>
      </w:pPr>
      <w:r>
        <w:t>For PRACH/SRS</w:t>
      </w:r>
    </w:p>
    <w:p w14:paraId="480DD8BE" w14:textId="77777777" w:rsidR="00393537" w:rsidRDefault="00393537" w:rsidP="00393537">
      <w:pPr>
        <w:pStyle w:val="proposal"/>
        <w:numPr>
          <w:ilvl w:val="1"/>
          <w:numId w:val="5"/>
        </w:numPr>
      </w:pPr>
      <w:r>
        <w:t>Drop entire transmission</w:t>
      </w:r>
    </w:p>
    <w:p w14:paraId="5640DC52" w14:textId="77777777" w:rsidR="00393537" w:rsidRDefault="00393537" w:rsidP="00393537">
      <w:pPr>
        <w:pStyle w:val="proposal"/>
        <w:numPr>
          <w:ilvl w:val="0"/>
          <w:numId w:val="5"/>
        </w:numPr>
      </w:pPr>
      <w:r>
        <w:t>For PUCCH/PUSCH</w:t>
      </w:r>
    </w:p>
    <w:p w14:paraId="115113D4" w14:textId="77777777" w:rsidR="00393537" w:rsidRDefault="00393537" w:rsidP="00393537">
      <w:pPr>
        <w:pStyle w:val="proposal"/>
        <w:numPr>
          <w:ilvl w:val="1"/>
          <w:numId w:val="5"/>
        </w:numPr>
      </w:pPr>
      <w:r>
        <w:t xml:space="preserve">Further consider dropping overlapping OFDM symbols only as long as puncturing is not overlapping with DM-RS. If puncturing overlaps with DM-RS resource, drop the entire transmission. </w:t>
      </w:r>
    </w:p>
    <w:p w14:paraId="3489D92A" w14:textId="7687EE19" w:rsidR="00393537" w:rsidRDefault="00393537" w:rsidP="00A77880">
      <w:pPr>
        <w:pStyle w:val="proposal"/>
      </w:pPr>
      <w:r>
        <w:rPr>
          <w:rFonts w:hint="eastAsia"/>
        </w:rPr>
        <w:t>Proposal</w:t>
      </w:r>
      <w:r>
        <w:t xml:space="preserve"> 4: For enhance power control, Option 2 is adopted for both dynamic grant and configured grant.</w:t>
      </w:r>
    </w:p>
    <w:p w14:paraId="275CDD2D" w14:textId="606E30E0" w:rsidR="00393537" w:rsidRDefault="00393537" w:rsidP="00393537">
      <w:pPr>
        <w:pStyle w:val="proposal"/>
      </w:pPr>
      <w:r>
        <w:rPr>
          <w:rFonts w:hint="eastAsia"/>
        </w:rPr>
        <w:t xml:space="preserve">Proposal </w:t>
      </w:r>
      <w:r>
        <w:t xml:space="preserve">5: For UL cancelation indication and power </w:t>
      </w:r>
      <w:r>
        <w:rPr>
          <w:rFonts w:hint="eastAsia"/>
        </w:rPr>
        <w:t>con</w:t>
      </w:r>
      <w:r>
        <w:t xml:space="preserve">trol scheme, it is necessary to investigate common signaling design for reducing signaling overhead and power-limited URLLC UE </w:t>
      </w:r>
    </w:p>
    <w:p w14:paraId="65B8CE4A" w14:textId="77777777" w:rsidR="00047076" w:rsidRPr="00155ABB" w:rsidRDefault="00047076" w:rsidP="00986086">
      <w:pPr>
        <w:pStyle w:val="Doc"/>
      </w:pPr>
    </w:p>
    <w:p w14:paraId="2F14B536" w14:textId="77777777" w:rsidR="00986086" w:rsidRPr="007036D8" w:rsidRDefault="00986086" w:rsidP="00986086">
      <w:pPr>
        <w:pStyle w:val="1"/>
        <w:numPr>
          <w:ilvl w:val="0"/>
          <w:numId w:val="1"/>
        </w:numPr>
        <w:spacing w:before="180"/>
        <w:rPr>
          <w:rFonts w:eastAsia="바탕"/>
          <w:b/>
          <w:lang w:eastAsia="ko-KR"/>
        </w:rPr>
      </w:pPr>
      <w:r w:rsidRPr="007036D8">
        <w:rPr>
          <w:rFonts w:eastAsia="바탕" w:hint="eastAsia"/>
          <w:b/>
          <w:lang w:eastAsia="ko-KR"/>
        </w:rPr>
        <w:t>Reference</w:t>
      </w:r>
    </w:p>
    <w:p w14:paraId="08B201D7" w14:textId="197BB3FA" w:rsidR="00CD6757" w:rsidRPr="005C1E73" w:rsidRDefault="00986086" w:rsidP="005C1E73">
      <w:pPr>
        <w:pStyle w:val="References"/>
        <w:tabs>
          <w:tab w:val="clear" w:pos="6031"/>
        </w:tabs>
        <w:ind w:left="567" w:hanging="425"/>
        <w:rPr>
          <w:rFonts w:eastAsia="맑은 고딕"/>
          <w:szCs w:val="22"/>
          <w:lang w:eastAsia="ko-KR"/>
        </w:rPr>
      </w:pPr>
      <w:r w:rsidRPr="003E43CC">
        <w:rPr>
          <w:szCs w:val="22"/>
          <w:lang w:eastAsia="ko-KR"/>
        </w:rPr>
        <w:t>RAN1 chairman’s notes, RAN1</w:t>
      </w:r>
      <w:r w:rsidR="005C1E73">
        <w:rPr>
          <w:rFonts w:eastAsiaTheme="minorEastAsia"/>
          <w:szCs w:val="22"/>
          <w:lang w:eastAsia="ko-KR"/>
        </w:rPr>
        <w:t>#9</w:t>
      </w:r>
      <w:r w:rsidR="00DA77DC">
        <w:rPr>
          <w:rFonts w:eastAsiaTheme="minorEastAsia"/>
          <w:szCs w:val="22"/>
          <w:lang w:eastAsia="ko-KR"/>
        </w:rPr>
        <w:t>7</w:t>
      </w:r>
      <w:r w:rsidR="005C1E73">
        <w:rPr>
          <w:rFonts w:eastAsiaTheme="minorEastAsia"/>
          <w:szCs w:val="22"/>
          <w:lang w:eastAsia="ko-KR"/>
        </w:rPr>
        <w:t xml:space="preserve"> </w:t>
      </w:r>
    </w:p>
    <w:sectPr w:rsidR="00CD6757" w:rsidRPr="005C1E73" w:rsidSect="007349F8">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B27289" w14:textId="77777777" w:rsidR="009759EE" w:rsidRDefault="009759EE" w:rsidP="00F30D3F">
      <w:pPr>
        <w:spacing w:before="0" w:after="0" w:line="240" w:lineRule="auto"/>
      </w:pPr>
      <w:r>
        <w:separator/>
      </w:r>
    </w:p>
  </w:endnote>
  <w:endnote w:type="continuationSeparator" w:id="0">
    <w:p w14:paraId="5E5F32C0" w14:textId="77777777" w:rsidR="009759EE" w:rsidRDefault="009759EE" w:rsidP="00F30D3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AF643B" w14:textId="77777777" w:rsidR="009759EE" w:rsidRDefault="009759EE" w:rsidP="00F30D3F">
      <w:pPr>
        <w:spacing w:before="0" w:after="0" w:line="240" w:lineRule="auto"/>
      </w:pPr>
      <w:r>
        <w:separator/>
      </w:r>
    </w:p>
  </w:footnote>
  <w:footnote w:type="continuationSeparator" w:id="0">
    <w:p w14:paraId="6A7A5815" w14:textId="77777777" w:rsidR="009759EE" w:rsidRDefault="009759EE" w:rsidP="00F30D3F">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B3594"/>
    <w:multiLevelType w:val="hybridMultilevel"/>
    <w:tmpl w:val="6E38D8C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E01632C"/>
    <w:multiLevelType w:val="hybridMultilevel"/>
    <w:tmpl w:val="DB6C59C2"/>
    <w:lvl w:ilvl="0" w:tplc="70BEAD2C">
      <w:start w:val="1"/>
      <w:numFmt w:val="bullet"/>
      <w:lvlText w:val="•"/>
      <w:lvlJc w:val="left"/>
      <w:pPr>
        <w:ind w:left="2040" w:hanging="420"/>
      </w:pPr>
      <w:rPr>
        <w:rFonts w:ascii="Arial" w:hAnsi="Arial" w:cs="Times New Roman" w:hint="default"/>
      </w:rPr>
    </w:lvl>
    <w:lvl w:ilvl="1" w:tplc="04090003">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2"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5F16FBF"/>
    <w:multiLevelType w:val="hybridMultilevel"/>
    <w:tmpl w:val="9BB02BD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DE7F84"/>
    <w:multiLevelType w:val="hybridMultilevel"/>
    <w:tmpl w:val="1EA4EC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2CB0CDC"/>
    <w:multiLevelType w:val="hybridMultilevel"/>
    <w:tmpl w:val="F8E87ED6"/>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24686D5A"/>
    <w:multiLevelType w:val="hybridMultilevel"/>
    <w:tmpl w:val="BF4A2350"/>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1" w15:restartNumberingAfterBreak="0">
    <w:nsid w:val="2A2576A5"/>
    <w:multiLevelType w:val="hybridMultilevel"/>
    <w:tmpl w:val="EE8C1AC8"/>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E5D73DB"/>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A7B51A9"/>
    <w:multiLevelType w:val="hybridMultilevel"/>
    <w:tmpl w:val="7264FBEA"/>
    <w:lvl w:ilvl="0" w:tplc="3D740866">
      <w:start w:val="1"/>
      <w:numFmt w:val="upperLetter"/>
      <w:lvlText w:val="%1."/>
      <w:lvlJc w:val="left"/>
      <w:pPr>
        <w:ind w:left="910" w:hanging="360"/>
      </w:pPr>
      <w:rPr>
        <w:rFonts w:hint="default"/>
      </w:rPr>
    </w:lvl>
    <w:lvl w:ilvl="1" w:tplc="04090019" w:tentative="1">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3D2F11"/>
    <w:multiLevelType w:val="hybridMultilevel"/>
    <w:tmpl w:val="F9A4CF6E"/>
    <w:lvl w:ilvl="0" w:tplc="CCD6DECC">
      <w:start w:val="1"/>
      <w:numFmt w:val="lowerLetter"/>
      <w:lvlText w:val="(%1)"/>
      <w:lvlJc w:val="left"/>
      <w:pPr>
        <w:ind w:left="910" w:hanging="360"/>
      </w:pPr>
      <w:rPr>
        <w:rFonts w:hint="default"/>
      </w:rPr>
    </w:lvl>
    <w:lvl w:ilvl="1" w:tplc="04090019" w:tentative="1">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18" w15:restartNumberingAfterBreak="0">
    <w:nsid w:val="3FC07136"/>
    <w:multiLevelType w:val="hybridMultilevel"/>
    <w:tmpl w:val="F7D8B924"/>
    <w:lvl w:ilvl="0" w:tplc="8EE20D20">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06D6930"/>
    <w:multiLevelType w:val="hybridMultilevel"/>
    <w:tmpl w:val="6C36C0E8"/>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20" w15:restartNumberingAfterBreak="0">
    <w:nsid w:val="4157591C"/>
    <w:multiLevelType w:val="hybridMultilevel"/>
    <w:tmpl w:val="FB64E188"/>
    <w:lvl w:ilvl="0" w:tplc="D1B001C4">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21" w15:restartNumberingAfterBreak="0">
    <w:nsid w:val="42404721"/>
    <w:multiLevelType w:val="hybridMultilevel"/>
    <w:tmpl w:val="12E6418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3AF555A"/>
    <w:multiLevelType w:val="multilevel"/>
    <w:tmpl w:val="9648D3CE"/>
    <w:lvl w:ilvl="0">
      <w:start w:val="1"/>
      <w:numFmt w:val="upperLetter"/>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3" w15:restartNumberingAfterBreak="0">
    <w:nsid w:val="43DE70E6"/>
    <w:multiLevelType w:val="hybridMultilevel"/>
    <w:tmpl w:val="DD98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40298A"/>
    <w:multiLevelType w:val="hybridMultilevel"/>
    <w:tmpl w:val="80AA578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6" w15:restartNumberingAfterBreak="0">
    <w:nsid w:val="4EBE03DC"/>
    <w:multiLevelType w:val="hybridMultilevel"/>
    <w:tmpl w:val="7A78CCA8"/>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27" w15:restartNumberingAfterBreak="0">
    <w:nsid w:val="502842E0"/>
    <w:multiLevelType w:val="hybridMultilevel"/>
    <w:tmpl w:val="9F90D4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5235C12"/>
    <w:multiLevelType w:val="hybridMultilevel"/>
    <w:tmpl w:val="F49217A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9" w15:restartNumberingAfterBreak="0">
    <w:nsid w:val="5DFE191D"/>
    <w:multiLevelType w:val="hybridMultilevel"/>
    <w:tmpl w:val="13ACFAAC"/>
    <w:lvl w:ilvl="0" w:tplc="714CE594">
      <w:start w:val="2"/>
      <w:numFmt w:val="bullet"/>
      <w:lvlText w:val="-"/>
      <w:lvlJc w:val="left"/>
      <w:pPr>
        <w:ind w:left="910" w:hanging="360"/>
      </w:pPr>
      <w:rPr>
        <w:rFonts w:ascii="Times New Roman" w:eastAsiaTheme="minorEastAsia" w:hAnsi="Times New Roman" w:cs="Times New Roman" w:hint="default"/>
      </w:rPr>
    </w:lvl>
    <w:lvl w:ilvl="1" w:tplc="04090003" w:tentative="1">
      <w:start w:val="1"/>
      <w:numFmt w:val="bullet"/>
      <w:lvlText w:val=""/>
      <w:lvlJc w:val="left"/>
      <w:pPr>
        <w:ind w:left="1350" w:hanging="400"/>
      </w:pPr>
      <w:rPr>
        <w:rFonts w:ascii="Wingdings" w:hAnsi="Wingdings" w:hint="default"/>
      </w:rPr>
    </w:lvl>
    <w:lvl w:ilvl="2" w:tplc="04090005" w:tentative="1">
      <w:start w:val="1"/>
      <w:numFmt w:val="bullet"/>
      <w:lvlText w:val=""/>
      <w:lvlJc w:val="left"/>
      <w:pPr>
        <w:ind w:left="1750" w:hanging="400"/>
      </w:pPr>
      <w:rPr>
        <w:rFonts w:ascii="Wingdings" w:hAnsi="Wingdings" w:hint="default"/>
      </w:rPr>
    </w:lvl>
    <w:lvl w:ilvl="3" w:tplc="04090001" w:tentative="1">
      <w:start w:val="1"/>
      <w:numFmt w:val="bullet"/>
      <w:lvlText w:val=""/>
      <w:lvlJc w:val="left"/>
      <w:pPr>
        <w:ind w:left="2150" w:hanging="400"/>
      </w:pPr>
      <w:rPr>
        <w:rFonts w:ascii="Wingdings" w:hAnsi="Wingdings" w:hint="default"/>
      </w:rPr>
    </w:lvl>
    <w:lvl w:ilvl="4" w:tplc="04090003" w:tentative="1">
      <w:start w:val="1"/>
      <w:numFmt w:val="bullet"/>
      <w:lvlText w:val=""/>
      <w:lvlJc w:val="left"/>
      <w:pPr>
        <w:ind w:left="2550" w:hanging="400"/>
      </w:pPr>
      <w:rPr>
        <w:rFonts w:ascii="Wingdings" w:hAnsi="Wingdings" w:hint="default"/>
      </w:rPr>
    </w:lvl>
    <w:lvl w:ilvl="5" w:tplc="04090005" w:tentative="1">
      <w:start w:val="1"/>
      <w:numFmt w:val="bullet"/>
      <w:lvlText w:val=""/>
      <w:lvlJc w:val="left"/>
      <w:pPr>
        <w:ind w:left="2950" w:hanging="400"/>
      </w:pPr>
      <w:rPr>
        <w:rFonts w:ascii="Wingdings" w:hAnsi="Wingdings" w:hint="default"/>
      </w:rPr>
    </w:lvl>
    <w:lvl w:ilvl="6" w:tplc="04090001" w:tentative="1">
      <w:start w:val="1"/>
      <w:numFmt w:val="bullet"/>
      <w:lvlText w:val=""/>
      <w:lvlJc w:val="left"/>
      <w:pPr>
        <w:ind w:left="3350" w:hanging="400"/>
      </w:pPr>
      <w:rPr>
        <w:rFonts w:ascii="Wingdings" w:hAnsi="Wingdings" w:hint="default"/>
      </w:rPr>
    </w:lvl>
    <w:lvl w:ilvl="7" w:tplc="04090003" w:tentative="1">
      <w:start w:val="1"/>
      <w:numFmt w:val="bullet"/>
      <w:lvlText w:val=""/>
      <w:lvlJc w:val="left"/>
      <w:pPr>
        <w:ind w:left="3750" w:hanging="400"/>
      </w:pPr>
      <w:rPr>
        <w:rFonts w:ascii="Wingdings" w:hAnsi="Wingdings" w:hint="default"/>
      </w:rPr>
    </w:lvl>
    <w:lvl w:ilvl="8" w:tplc="04090005" w:tentative="1">
      <w:start w:val="1"/>
      <w:numFmt w:val="bullet"/>
      <w:lvlText w:val=""/>
      <w:lvlJc w:val="left"/>
      <w:pPr>
        <w:ind w:left="4150" w:hanging="400"/>
      </w:pPr>
      <w:rPr>
        <w:rFonts w:ascii="Wingdings" w:hAnsi="Wingdings" w:hint="default"/>
      </w:rPr>
    </w:lvl>
  </w:abstractNum>
  <w:abstractNum w:abstractNumId="30"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 w15:restartNumberingAfterBreak="0">
    <w:nsid w:val="618E44CC"/>
    <w:multiLevelType w:val="hybridMultilevel"/>
    <w:tmpl w:val="1C50947A"/>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2" w15:restartNumberingAfterBreak="0">
    <w:nsid w:val="62594C32"/>
    <w:multiLevelType w:val="hybridMultilevel"/>
    <w:tmpl w:val="D3D4F0F0"/>
    <w:lvl w:ilvl="0" w:tplc="0409000F">
      <w:start w:val="1"/>
      <w:numFmt w:val="decimal"/>
      <w:lvlText w:val="%1."/>
      <w:lvlJc w:val="left"/>
      <w:pPr>
        <w:ind w:left="1350" w:hanging="400"/>
      </w:pPr>
    </w:lvl>
    <w:lvl w:ilvl="1" w:tplc="04090019" w:tentative="1">
      <w:start w:val="1"/>
      <w:numFmt w:val="upperLetter"/>
      <w:lvlText w:val="%2."/>
      <w:lvlJc w:val="left"/>
      <w:pPr>
        <w:ind w:left="1750" w:hanging="400"/>
      </w:pPr>
    </w:lvl>
    <w:lvl w:ilvl="2" w:tplc="0409001B" w:tentative="1">
      <w:start w:val="1"/>
      <w:numFmt w:val="lowerRoman"/>
      <w:lvlText w:val="%3."/>
      <w:lvlJc w:val="right"/>
      <w:pPr>
        <w:ind w:left="2150" w:hanging="400"/>
      </w:pPr>
    </w:lvl>
    <w:lvl w:ilvl="3" w:tplc="0409000F" w:tentative="1">
      <w:start w:val="1"/>
      <w:numFmt w:val="decimal"/>
      <w:lvlText w:val="%4."/>
      <w:lvlJc w:val="left"/>
      <w:pPr>
        <w:ind w:left="2550" w:hanging="400"/>
      </w:pPr>
    </w:lvl>
    <w:lvl w:ilvl="4" w:tplc="04090019" w:tentative="1">
      <w:start w:val="1"/>
      <w:numFmt w:val="upperLetter"/>
      <w:lvlText w:val="%5."/>
      <w:lvlJc w:val="left"/>
      <w:pPr>
        <w:ind w:left="2950" w:hanging="400"/>
      </w:pPr>
    </w:lvl>
    <w:lvl w:ilvl="5" w:tplc="0409001B" w:tentative="1">
      <w:start w:val="1"/>
      <w:numFmt w:val="lowerRoman"/>
      <w:lvlText w:val="%6."/>
      <w:lvlJc w:val="right"/>
      <w:pPr>
        <w:ind w:left="3350" w:hanging="400"/>
      </w:pPr>
    </w:lvl>
    <w:lvl w:ilvl="6" w:tplc="0409000F" w:tentative="1">
      <w:start w:val="1"/>
      <w:numFmt w:val="decimal"/>
      <w:lvlText w:val="%7."/>
      <w:lvlJc w:val="left"/>
      <w:pPr>
        <w:ind w:left="3750" w:hanging="400"/>
      </w:pPr>
    </w:lvl>
    <w:lvl w:ilvl="7" w:tplc="04090019" w:tentative="1">
      <w:start w:val="1"/>
      <w:numFmt w:val="upperLetter"/>
      <w:lvlText w:val="%8."/>
      <w:lvlJc w:val="left"/>
      <w:pPr>
        <w:ind w:left="4150" w:hanging="400"/>
      </w:pPr>
    </w:lvl>
    <w:lvl w:ilvl="8" w:tplc="0409001B" w:tentative="1">
      <w:start w:val="1"/>
      <w:numFmt w:val="lowerRoman"/>
      <w:lvlText w:val="%9."/>
      <w:lvlJc w:val="right"/>
      <w:pPr>
        <w:ind w:left="4550" w:hanging="400"/>
      </w:pPr>
    </w:lvl>
  </w:abstractNum>
  <w:abstractNum w:abstractNumId="33" w15:restartNumberingAfterBreak="0">
    <w:nsid w:val="67806A8D"/>
    <w:multiLevelType w:val="hybridMultilevel"/>
    <w:tmpl w:val="7DDE4A6E"/>
    <w:lvl w:ilvl="0" w:tplc="D5F4B3F6">
      <w:start w:val="1"/>
      <w:numFmt w:val="decimal"/>
      <w:lvlText w:val="(%1)"/>
      <w:lvlJc w:val="left"/>
      <w:pPr>
        <w:ind w:left="910" w:hanging="360"/>
      </w:pPr>
      <w:rPr>
        <w:rFonts w:hint="default"/>
      </w:rPr>
    </w:lvl>
    <w:lvl w:ilvl="1" w:tplc="04090019">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34" w15:restartNumberingAfterBreak="0">
    <w:nsid w:val="703157D4"/>
    <w:multiLevelType w:val="multilevel"/>
    <w:tmpl w:val="B96C148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5" w15:restartNumberingAfterBreak="0">
    <w:nsid w:val="73387A23"/>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C01811"/>
    <w:multiLevelType w:val="hybridMultilevel"/>
    <w:tmpl w:val="2AD810E4"/>
    <w:lvl w:ilvl="0" w:tplc="8EE20D20">
      <w:start w:val="1"/>
      <w:numFmt w:val="bullet"/>
      <w:lvlText w:val="•"/>
      <w:lvlJc w:val="left"/>
      <w:pPr>
        <w:ind w:left="1200" w:hanging="400"/>
      </w:pPr>
      <w:rPr>
        <w:rFonts w:ascii="Arial" w:hAnsi="Arial"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34"/>
  </w:num>
  <w:num w:numId="2">
    <w:abstractNumId w:val="15"/>
  </w:num>
  <w:num w:numId="3">
    <w:abstractNumId w:val="33"/>
  </w:num>
  <w:num w:numId="4">
    <w:abstractNumId w:val="5"/>
  </w:num>
  <w:num w:numId="5">
    <w:abstractNumId w:val="4"/>
  </w:num>
  <w:num w:numId="6">
    <w:abstractNumId w:val="0"/>
  </w:num>
  <w:num w:numId="7">
    <w:abstractNumId w:val="26"/>
  </w:num>
  <w:num w:numId="8">
    <w:abstractNumId w:val="17"/>
  </w:num>
  <w:num w:numId="9">
    <w:abstractNumId w:val="36"/>
  </w:num>
  <w:num w:numId="10">
    <w:abstractNumId w:val="29"/>
  </w:num>
  <w:num w:numId="11">
    <w:abstractNumId w:val="16"/>
  </w:num>
  <w:num w:numId="12">
    <w:abstractNumId w:val="19"/>
  </w:num>
  <w:num w:numId="13">
    <w:abstractNumId w:val="10"/>
  </w:num>
  <w:num w:numId="14">
    <w:abstractNumId w:val="14"/>
  </w:num>
  <w:num w:numId="15">
    <w:abstractNumId w:val="31"/>
  </w:num>
  <w:num w:numId="16">
    <w:abstractNumId w:val="32"/>
  </w:num>
  <w:num w:numId="17">
    <w:abstractNumId w:val="21"/>
  </w:num>
  <w:num w:numId="18">
    <w:abstractNumId w:val="27"/>
  </w:num>
  <w:num w:numId="19">
    <w:abstractNumId w:val="23"/>
  </w:num>
  <w:num w:numId="20">
    <w:abstractNumId w:val="22"/>
  </w:num>
  <w:num w:numId="21">
    <w:abstractNumId w:val="28"/>
  </w:num>
  <w:num w:numId="22">
    <w:abstractNumId w:val="30"/>
  </w:num>
  <w:num w:numId="23">
    <w:abstractNumId w:val="9"/>
  </w:num>
  <w:num w:numId="24">
    <w:abstractNumId w:val="13"/>
  </w:num>
  <w:num w:numId="25">
    <w:abstractNumId w:val="7"/>
  </w:num>
  <w:num w:numId="26">
    <w:abstractNumId w:val="1"/>
  </w:num>
  <w:num w:numId="27">
    <w:abstractNumId w:val="12"/>
  </w:num>
  <w:num w:numId="28">
    <w:abstractNumId w:val="35"/>
  </w:num>
  <w:num w:numId="29">
    <w:abstractNumId w:val="20"/>
  </w:num>
  <w:num w:numId="30">
    <w:abstractNumId w:val="2"/>
  </w:num>
  <w:num w:numId="31">
    <w:abstractNumId w:val="6"/>
  </w:num>
  <w:num w:numId="32">
    <w:abstractNumId w:val="25"/>
  </w:num>
  <w:num w:numId="33">
    <w:abstractNumId w:val="8"/>
  </w:num>
  <w:num w:numId="34">
    <w:abstractNumId w:val="3"/>
  </w:num>
  <w:num w:numId="35">
    <w:abstractNumId w:val="37"/>
  </w:num>
  <w:num w:numId="36">
    <w:abstractNumId w:val="18"/>
  </w:num>
  <w:num w:numId="37">
    <w:abstractNumId w:val="11"/>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086"/>
    <w:rsid w:val="00003B2F"/>
    <w:rsid w:val="00004A9E"/>
    <w:rsid w:val="00011CD4"/>
    <w:rsid w:val="00016503"/>
    <w:rsid w:val="00017BE3"/>
    <w:rsid w:val="0004238C"/>
    <w:rsid w:val="00047076"/>
    <w:rsid w:val="000669BD"/>
    <w:rsid w:val="00073DFA"/>
    <w:rsid w:val="0008022F"/>
    <w:rsid w:val="000862E1"/>
    <w:rsid w:val="000871AE"/>
    <w:rsid w:val="000A11E1"/>
    <w:rsid w:val="000A5C1F"/>
    <w:rsid w:val="000B438B"/>
    <w:rsid w:val="000C033A"/>
    <w:rsid w:val="000C0456"/>
    <w:rsid w:val="000C1057"/>
    <w:rsid w:val="000C40F2"/>
    <w:rsid w:val="000C4ECA"/>
    <w:rsid w:val="000E08EA"/>
    <w:rsid w:val="000E6679"/>
    <w:rsid w:val="000F0BC7"/>
    <w:rsid w:val="00104327"/>
    <w:rsid w:val="00105655"/>
    <w:rsid w:val="00111E95"/>
    <w:rsid w:val="001256C0"/>
    <w:rsid w:val="00130951"/>
    <w:rsid w:val="0014562F"/>
    <w:rsid w:val="001466F2"/>
    <w:rsid w:val="00155ABB"/>
    <w:rsid w:val="00166474"/>
    <w:rsid w:val="00166B1F"/>
    <w:rsid w:val="00177CF9"/>
    <w:rsid w:val="0019138F"/>
    <w:rsid w:val="001945CB"/>
    <w:rsid w:val="001A5C94"/>
    <w:rsid w:val="001A6DF2"/>
    <w:rsid w:val="001B5B0D"/>
    <w:rsid w:val="001C5614"/>
    <w:rsid w:val="001C76C1"/>
    <w:rsid w:val="00231614"/>
    <w:rsid w:val="00245F96"/>
    <w:rsid w:val="00257320"/>
    <w:rsid w:val="00263E95"/>
    <w:rsid w:val="002643CD"/>
    <w:rsid w:val="0026520F"/>
    <w:rsid w:val="002750AC"/>
    <w:rsid w:val="002A2FBE"/>
    <w:rsid w:val="002A7A66"/>
    <w:rsid w:val="002B1E18"/>
    <w:rsid w:val="002B57A1"/>
    <w:rsid w:val="002D5BD9"/>
    <w:rsid w:val="002D70C8"/>
    <w:rsid w:val="002F5840"/>
    <w:rsid w:val="00307034"/>
    <w:rsid w:val="00315F5C"/>
    <w:rsid w:val="0032018C"/>
    <w:rsid w:val="00327B51"/>
    <w:rsid w:val="00346B9D"/>
    <w:rsid w:val="003749CB"/>
    <w:rsid w:val="003819B7"/>
    <w:rsid w:val="003863FC"/>
    <w:rsid w:val="00393537"/>
    <w:rsid w:val="003A3EB0"/>
    <w:rsid w:val="003B30DE"/>
    <w:rsid w:val="003D2AFD"/>
    <w:rsid w:val="003E5441"/>
    <w:rsid w:val="00401BA6"/>
    <w:rsid w:val="0040514A"/>
    <w:rsid w:val="00405FA4"/>
    <w:rsid w:val="004101D0"/>
    <w:rsid w:val="00420D05"/>
    <w:rsid w:val="00424C28"/>
    <w:rsid w:val="00426FF2"/>
    <w:rsid w:val="00434DA7"/>
    <w:rsid w:val="00447A23"/>
    <w:rsid w:val="0047576E"/>
    <w:rsid w:val="00477729"/>
    <w:rsid w:val="00477CBF"/>
    <w:rsid w:val="00484A71"/>
    <w:rsid w:val="004930AA"/>
    <w:rsid w:val="00496AE9"/>
    <w:rsid w:val="004B07C5"/>
    <w:rsid w:val="004B1192"/>
    <w:rsid w:val="004B2BC9"/>
    <w:rsid w:val="004B431A"/>
    <w:rsid w:val="004C36FF"/>
    <w:rsid w:val="004C43FB"/>
    <w:rsid w:val="004D0D04"/>
    <w:rsid w:val="004D5DD6"/>
    <w:rsid w:val="004E674A"/>
    <w:rsid w:val="004E7D29"/>
    <w:rsid w:val="004F6722"/>
    <w:rsid w:val="004F7900"/>
    <w:rsid w:val="005031C7"/>
    <w:rsid w:val="00504F4E"/>
    <w:rsid w:val="00510CCE"/>
    <w:rsid w:val="00534305"/>
    <w:rsid w:val="00540AB1"/>
    <w:rsid w:val="005466EA"/>
    <w:rsid w:val="00554D10"/>
    <w:rsid w:val="00556F3B"/>
    <w:rsid w:val="00561354"/>
    <w:rsid w:val="005A1821"/>
    <w:rsid w:val="005A2A40"/>
    <w:rsid w:val="005B0BAF"/>
    <w:rsid w:val="005C1E73"/>
    <w:rsid w:val="005C6319"/>
    <w:rsid w:val="005F1B8F"/>
    <w:rsid w:val="006137D9"/>
    <w:rsid w:val="00627799"/>
    <w:rsid w:val="0063674D"/>
    <w:rsid w:val="00637E79"/>
    <w:rsid w:val="00644A61"/>
    <w:rsid w:val="00646A8D"/>
    <w:rsid w:val="00680CA3"/>
    <w:rsid w:val="00690473"/>
    <w:rsid w:val="00697908"/>
    <w:rsid w:val="006A246E"/>
    <w:rsid w:val="006A6766"/>
    <w:rsid w:val="006C4D65"/>
    <w:rsid w:val="006E6857"/>
    <w:rsid w:val="006F213F"/>
    <w:rsid w:val="006F2159"/>
    <w:rsid w:val="00706F13"/>
    <w:rsid w:val="00717C99"/>
    <w:rsid w:val="0072327F"/>
    <w:rsid w:val="007349F8"/>
    <w:rsid w:val="0076102C"/>
    <w:rsid w:val="007651CC"/>
    <w:rsid w:val="00765704"/>
    <w:rsid w:val="007765E0"/>
    <w:rsid w:val="007777F4"/>
    <w:rsid w:val="0078221C"/>
    <w:rsid w:val="00782FB9"/>
    <w:rsid w:val="007926C2"/>
    <w:rsid w:val="007A7A43"/>
    <w:rsid w:val="007B60B5"/>
    <w:rsid w:val="007D0BB2"/>
    <w:rsid w:val="007F337C"/>
    <w:rsid w:val="0080431E"/>
    <w:rsid w:val="00815D86"/>
    <w:rsid w:val="00827CB3"/>
    <w:rsid w:val="008717C2"/>
    <w:rsid w:val="00880980"/>
    <w:rsid w:val="008815AF"/>
    <w:rsid w:val="0088733D"/>
    <w:rsid w:val="00891F6C"/>
    <w:rsid w:val="008B1C95"/>
    <w:rsid w:val="008C2582"/>
    <w:rsid w:val="008C3804"/>
    <w:rsid w:val="008D2A0F"/>
    <w:rsid w:val="008D6850"/>
    <w:rsid w:val="008F5AC5"/>
    <w:rsid w:val="009054F7"/>
    <w:rsid w:val="009165AA"/>
    <w:rsid w:val="0095012A"/>
    <w:rsid w:val="00956FC1"/>
    <w:rsid w:val="00970A17"/>
    <w:rsid w:val="00971C57"/>
    <w:rsid w:val="009759EE"/>
    <w:rsid w:val="00986086"/>
    <w:rsid w:val="0099614B"/>
    <w:rsid w:val="009961DE"/>
    <w:rsid w:val="00997F44"/>
    <w:rsid w:val="009C14A6"/>
    <w:rsid w:val="009C2DB7"/>
    <w:rsid w:val="009D362B"/>
    <w:rsid w:val="009D5484"/>
    <w:rsid w:val="009E57C2"/>
    <w:rsid w:val="009E5B5F"/>
    <w:rsid w:val="009E6AF7"/>
    <w:rsid w:val="009E6D9B"/>
    <w:rsid w:val="009E6E05"/>
    <w:rsid w:val="009E7D15"/>
    <w:rsid w:val="00A04EA0"/>
    <w:rsid w:val="00A20D03"/>
    <w:rsid w:val="00A254BA"/>
    <w:rsid w:val="00A26420"/>
    <w:rsid w:val="00A328AB"/>
    <w:rsid w:val="00A45132"/>
    <w:rsid w:val="00A460FD"/>
    <w:rsid w:val="00A540ED"/>
    <w:rsid w:val="00A753E2"/>
    <w:rsid w:val="00A77880"/>
    <w:rsid w:val="00AB26F0"/>
    <w:rsid w:val="00AC4AF6"/>
    <w:rsid w:val="00AC56B2"/>
    <w:rsid w:val="00AD1A45"/>
    <w:rsid w:val="00AD5524"/>
    <w:rsid w:val="00AE0CF5"/>
    <w:rsid w:val="00AE3665"/>
    <w:rsid w:val="00B07090"/>
    <w:rsid w:val="00B112F9"/>
    <w:rsid w:val="00B30E93"/>
    <w:rsid w:val="00B34814"/>
    <w:rsid w:val="00B35597"/>
    <w:rsid w:val="00B41B41"/>
    <w:rsid w:val="00B4727F"/>
    <w:rsid w:val="00B5240D"/>
    <w:rsid w:val="00B5415D"/>
    <w:rsid w:val="00B60997"/>
    <w:rsid w:val="00B62EED"/>
    <w:rsid w:val="00B63894"/>
    <w:rsid w:val="00BB1701"/>
    <w:rsid w:val="00BB6136"/>
    <w:rsid w:val="00BB6473"/>
    <w:rsid w:val="00BE7537"/>
    <w:rsid w:val="00C10CB3"/>
    <w:rsid w:val="00C136D0"/>
    <w:rsid w:val="00C20C28"/>
    <w:rsid w:val="00C264F3"/>
    <w:rsid w:val="00C26976"/>
    <w:rsid w:val="00C35A18"/>
    <w:rsid w:val="00CA3AE8"/>
    <w:rsid w:val="00CA3BCD"/>
    <w:rsid w:val="00CB2CD5"/>
    <w:rsid w:val="00CC6BCE"/>
    <w:rsid w:val="00CD6757"/>
    <w:rsid w:val="00CE0805"/>
    <w:rsid w:val="00CE259B"/>
    <w:rsid w:val="00CE5482"/>
    <w:rsid w:val="00CE56AD"/>
    <w:rsid w:val="00D16497"/>
    <w:rsid w:val="00D25C4B"/>
    <w:rsid w:val="00D535E6"/>
    <w:rsid w:val="00D5471C"/>
    <w:rsid w:val="00D8203F"/>
    <w:rsid w:val="00DA3C5D"/>
    <w:rsid w:val="00DA77DC"/>
    <w:rsid w:val="00DB060A"/>
    <w:rsid w:val="00DB19A8"/>
    <w:rsid w:val="00DC1209"/>
    <w:rsid w:val="00DC6A62"/>
    <w:rsid w:val="00DD5EDE"/>
    <w:rsid w:val="00DD6F33"/>
    <w:rsid w:val="00DE0871"/>
    <w:rsid w:val="00DF4CB6"/>
    <w:rsid w:val="00DF7B85"/>
    <w:rsid w:val="00E0270F"/>
    <w:rsid w:val="00E139CC"/>
    <w:rsid w:val="00E315BB"/>
    <w:rsid w:val="00E43DCA"/>
    <w:rsid w:val="00E44AF8"/>
    <w:rsid w:val="00E61E4F"/>
    <w:rsid w:val="00E659AD"/>
    <w:rsid w:val="00E6765F"/>
    <w:rsid w:val="00E87C6F"/>
    <w:rsid w:val="00E96128"/>
    <w:rsid w:val="00EA0FEF"/>
    <w:rsid w:val="00EA46A3"/>
    <w:rsid w:val="00EA6332"/>
    <w:rsid w:val="00EB535D"/>
    <w:rsid w:val="00ED1F7D"/>
    <w:rsid w:val="00EE5542"/>
    <w:rsid w:val="00F047FA"/>
    <w:rsid w:val="00F04CF2"/>
    <w:rsid w:val="00F04E74"/>
    <w:rsid w:val="00F073EA"/>
    <w:rsid w:val="00F30D3F"/>
    <w:rsid w:val="00F4560F"/>
    <w:rsid w:val="00F527E8"/>
    <w:rsid w:val="00F538AD"/>
    <w:rsid w:val="00F60C44"/>
    <w:rsid w:val="00F65E2B"/>
    <w:rsid w:val="00F66BF1"/>
    <w:rsid w:val="00F752AB"/>
    <w:rsid w:val="00F93DDC"/>
    <w:rsid w:val="00F963D9"/>
    <w:rsid w:val="00FA1FDD"/>
    <w:rsid w:val="00FA5D8C"/>
    <w:rsid w:val="00FA60A2"/>
    <w:rsid w:val="00FE1727"/>
    <w:rsid w:val="00FF17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A3611"/>
  <w15:chartTrackingRefBased/>
  <w15:docId w15:val="{F62386E4-03B1-458B-8157-0F41C3C8A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6086"/>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986086"/>
    <w:pPr>
      <w:keepNext/>
      <w:tabs>
        <w:tab w:val="left" w:pos="0"/>
      </w:tabs>
      <w:spacing w:before="240" w:after="60"/>
      <w:ind w:left="0" w:firstLine="0"/>
      <w:outlineLvl w:val="0"/>
    </w:pPr>
    <w:rPr>
      <w:rFonts w:ascii="Arial" w:eastAsia="MS Gothic" w:hAnsi="Arial"/>
      <w:kern w:val="28"/>
      <w:sz w:val="28"/>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986086"/>
    <w:rPr>
      <w:rFonts w:ascii="Arial" w:eastAsia="MS Gothic" w:hAnsi="Arial" w:cs="Times New Roman"/>
      <w:kern w:val="28"/>
      <w:sz w:val="28"/>
      <w:szCs w:val="20"/>
      <w:lang w:val="en-GB" w:eastAsia="ja-JP"/>
    </w:rPr>
  </w:style>
  <w:style w:type="table" w:styleId="a3">
    <w:name w:val="Table Grid"/>
    <w:basedOn w:val="a1"/>
    <w:rsid w:val="00986086"/>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semiHidden/>
    <w:rsid w:val="00986086"/>
    <w:rPr>
      <w:sz w:val="18"/>
      <w:szCs w:val="18"/>
    </w:rPr>
  </w:style>
  <w:style w:type="paragraph" w:styleId="a5">
    <w:name w:val="annotation text"/>
    <w:basedOn w:val="a"/>
    <w:link w:val="Char"/>
    <w:semiHidden/>
    <w:rsid w:val="00986086"/>
  </w:style>
  <w:style w:type="character" w:customStyle="1" w:styleId="Char">
    <w:name w:val="메모 텍스트 Char"/>
    <w:basedOn w:val="a0"/>
    <w:link w:val="a5"/>
    <w:semiHidden/>
    <w:rsid w:val="00986086"/>
    <w:rPr>
      <w:rFonts w:ascii="Times New Roman" w:eastAsia="MS Mincho" w:hAnsi="Times New Roman" w:cs="Times New Roman"/>
      <w:kern w:val="0"/>
      <w:szCs w:val="20"/>
      <w:lang w:val="en-GB" w:eastAsia="en-US"/>
    </w:rPr>
  </w:style>
  <w:style w:type="paragraph" w:customStyle="1" w:styleId="References">
    <w:name w:val="References"/>
    <w:basedOn w:val="a"/>
    <w:rsid w:val="00986086"/>
    <w:pPr>
      <w:numPr>
        <w:numId w:val="2"/>
      </w:numPr>
      <w:autoSpaceDE w:val="0"/>
      <w:autoSpaceDN w:val="0"/>
      <w:spacing w:after="60"/>
    </w:pPr>
    <w:rPr>
      <w:rFonts w:eastAsia="SimSun"/>
      <w:sz w:val="22"/>
      <w:szCs w:val="16"/>
      <w:lang w:val="en-US"/>
    </w:rPr>
  </w:style>
  <w:style w:type="paragraph" w:customStyle="1" w:styleId="Doc">
    <w:name w:val="Doc"/>
    <w:basedOn w:val="a"/>
    <w:link w:val="DocChar"/>
    <w:qFormat/>
    <w:rsid w:val="00986086"/>
    <w:pPr>
      <w:ind w:left="0" w:firstLineChars="250" w:firstLine="550"/>
    </w:pPr>
    <w:rPr>
      <w:sz w:val="22"/>
      <w:szCs w:val="22"/>
      <w:lang w:val="en-US" w:eastAsia="ko-KR"/>
    </w:rPr>
  </w:style>
  <w:style w:type="character" w:customStyle="1" w:styleId="DocChar">
    <w:name w:val="Doc Char"/>
    <w:basedOn w:val="a0"/>
    <w:link w:val="Doc"/>
    <w:rsid w:val="00986086"/>
    <w:rPr>
      <w:rFonts w:ascii="Times New Roman" w:eastAsia="MS Mincho" w:hAnsi="Times New Roman" w:cs="Times New Roman"/>
      <w:kern w:val="0"/>
      <w:sz w:val="22"/>
    </w:rPr>
  </w:style>
  <w:style w:type="paragraph" w:customStyle="1" w:styleId="proposal">
    <w:name w:val="proposal"/>
    <w:basedOn w:val="a"/>
    <w:link w:val="proposalChar"/>
    <w:qFormat/>
    <w:rsid w:val="00986086"/>
    <w:pPr>
      <w:ind w:left="0" w:firstLine="0"/>
    </w:pPr>
    <w:rPr>
      <w:rFonts w:eastAsiaTheme="minorEastAsia"/>
      <w:b/>
      <w:i/>
      <w:sz w:val="22"/>
      <w:szCs w:val="22"/>
      <w:lang w:val="en-US" w:eastAsia="ko-KR"/>
    </w:rPr>
  </w:style>
  <w:style w:type="character" w:customStyle="1" w:styleId="proposalChar">
    <w:name w:val="proposal Char"/>
    <w:basedOn w:val="a0"/>
    <w:link w:val="proposal"/>
    <w:rsid w:val="00986086"/>
    <w:rPr>
      <w:rFonts w:ascii="Times New Roman" w:hAnsi="Times New Roman" w:cs="Times New Roman"/>
      <w:b/>
      <w:i/>
      <w:kern w:val="0"/>
      <w:sz w:val="22"/>
    </w:rPr>
  </w:style>
  <w:style w:type="paragraph" w:customStyle="1" w:styleId="TAL">
    <w:name w:val="TAL"/>
    <w:basedOn w:val="a"/>
    <w:rsid w:val="00986086"/>
    <w:pPr>
      <w:keepNext/>
      <w:keepLines/>
      <w:spacing w:before="0" w:after="0" w:line="240" w:lineRule="auto"/>
      <w:ind w:left="0" w:firstLine="0"/>
      <w:jc w:val="left"/>
    </w:pPr>
    <w:rPr>
      <w:rFonts w:ascii="Arial" w:eastAsiaTheme="minorEastAsia" w:hAnsi="Arial"/>
      <w:sz w:val="18"/>
    </w:rPr>
  </w:style>
  <w:style w:type="table" w:styleId="4-1">
    <w:name w:val="List Table 4 Accent 1"/>
    <w:basedOn w:val="a1"/>
    <w:uiPriority w:val="49"/>
    <w:rsid w:val="00986086"/>
    <w:pPr>
      <w:spacing w:after="0" w:line="240" w:lineRule="auto"/>
      <w:jc w:val="left"/>
    </w:pPr>
    <w:rPr>
      <w:rFonts w:ascii="Times New Roman" w:eastAsia="바탕" w:hAnsi="Times New Roman" w:cs="Times New Roman"/>
      <w:kern w:val="0"/>
      <w:szCs w:val="20"/>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a6">
    <w:name w:val="Balloon Text"/>
    <w:basedOn w:val="a"/>
    <w:link w:val="Char0"/>
    <w:uiPriority w:val="99"/>
    <w:semiHidden/>
    <w:unhideWhenUsed/>
    <w:rsid w:val="00986086"/>
    <w:pPr>
      <w:spacing w:before="0"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6"/>
    <w:uiPriority w:val="99"/>
    <w:semiHidden/>
    <w:rsid w:val="00986086"/>
    <w:rPr>
      <w:rFonts w:asciiTheme="majorHAnsi" w:eastAsiaTheme="majorEastAsia" w:hAnsiTheme="majorHAnsi" w:cstheme="majorBidi"/>
      <w:kern w:val="0"/>
      <w:sz w:val="18"/>
      <w:szCs w:val="18"/>
      <w:lang w:val="en-GB" w:eastAsia="en-US"/>
    </w:rPr>
  </w:style>
  <w:style w:type="paragraph" w:styleId="a7">
    <w:name w:val="header"/>
    <w:basedOn w:val="a"/>
    <w:link w:val="Char1"/>
    <w:uiPriority w:val="99"/>
    <w:unhideWhenUsed/>
    <w:rsid w:val="00F30D3F"/>
    <w:pPr>
      <w:tabs>
        <w:tab w:val="center" w:pos="4513"/>
        <w:tab w:val="right" w:pos="9026"/>
      </w:tabs>
      <w:snapToGrid w:val="0"/>
    </w:pPr>
  </w:style>
  <w:style w:type="character" w:customStyle="1" w:styleId="Char1">
    <w:name w:val="머리글 Char"/>
    <w:basedOn w:val="a0"/>
    <w:link w:val="a7"/>
    <w:uiPriority w:val="99"/>
    <w:rsid w:val="00F30D3F"/>
    <w:rPr>
      <w:rFonts w:ascii="Times New Roman" w:eastAsia="MS Mincho" w:hAnsi="Times New Roman" w:cs="Times New Roman"/>
      <w:kern w:val="0"/>
      <w:szCs w:val="20"/>
      <w:lang w:val="en-GB" w:eastAsia="en-US"/>
    </w:rPr>
  </w:style>
  <w:style w:type="paragraph" w:styleId="a8">
    <w:name w:val="footer"/>
    <w:basedOn w:val="a"/>
    <w:link w:val="Char2"/>
    <w:uiPriority w:val="99"/>
    <w:unhideWhenUsed/>
    <w:rsid w:val="00F30D3F"/>
    <w:pPr>
      <w:tabs>
        <w:tab w:val="center" w:pos="4513"/>
        <w:tab w:val="right" w:pos="9026"/>
      </w:tabs>
      <w:snapToGrid w:val="0"/>
    </w:pPr>
  </w:style>
  <w:style w:type="character" w:customStyle="1" w:styleId="Char2">
    <w:name w:val="바닥글 Char"/>
    <w:basedOn w:val="a0"/>
    <w:link w:val="a8"/>
    <w:uiPriority w:val="99"/>
    <w:rsid w:val="00F30D3F"/>
    <w:rPr>
      <w:rFonts w:ascii="Times New Roman" w:eastAsia="MS Mincho" w:hAnsi="Times New Roman" w:cs="Times New Roman"/>
      <w:kern w:val="0"/>
      <w:szCs w:val="20"/>
      <w:lang w:val="en-GB" w:eastAsia="en-US"/>
    </w:rPr>
  </w:style>
  <w:style w:type="table" w:styleId="5">
    <w:name w:val="Plain Table 5"/>
    <w:basedOn w:val="a1"/>
    <w:uiPriority w:val="45"/>
    <w:rsid w:val="00554D1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
    <w:name w:val="Grid Table 3"/>
    <w:basedOn w:val="a1"/>
    <w:uiPriority w:val="48"/>
    <w:rsid w:val="00554D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
    <w:name w:val="Grid Table 4"/>
    <w:basedOn w:val="a1"/>
    <w:uiPriority w:val="49"/>
    <w:rsid w:val="00554D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0">
    <w:name w:val="Grid Table 5 Dark"/>
    <w:basedOn w:val="a1"/>
    <w:uiPriority w:val="50"/>
    <w:rsid w:val="00554D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10">
    <w:name w:val="Grid Table 4 Accent 1"/>
    <w:basedOn w:val="a1"/>
    <w:uiPriority w:val="49"/>
    <w:rsid w:val="00554D1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a9">
    <w:name w:val="Placeholder Text"/>
    <w:basedOn w:val="a0"/>
    <w:uiPriority w:val="99"/>
    <w:semiHidden/>
    <w:rsid w:val="0032018C"/>
    <w:rPr>
      <w:color w:val="808080"/>
    </w:rPr>
  </w:style>
  <w:style w:type="paragraph" w:customStyle="1" w:styleId="agreementHEAD">
    <w:name w:val="agreement HEAD"/>
    <w:basedOn w:val="a"/>
    <w:link w:val="agreementHEADChar"/>
    <w:qFormat/>
    <w:rsid w:val="004101D0"/>
    <w:pPr>
      <w:spacing w:before="0" w:after="0" w:line="240" w:lineRule="exact"/>
      <w:ind w:left="0" w:firstLine="0"/>
      <w:jc w:val="left"/>
    </w:pPr>
    <w:rPr>
      <w:b/>
      <w:u w:val="single"/>
    </w:rPr>
  </w:style>
  <w:style w:type="character" w:customStyle="1" w:styleId="agreementHEADChar">
    <w:name w:val="agreement HEAD Char"/>
    <w:basedOn w:val="a0"/>
    <w:link w:val="agreementHEAD"/>
    <w:rsid w:val="004101D0"/>
    <w:rPr>
      <w:rFonts w:ascii="Times New Roman" w:eastAsia="MS Mincho" w:hAnsi="Times New Roman" w:cs="Times New Roman"/>
      <w:b/>
      <w:kern w:val="0"/>
      <w:szCs w:val="20"/>
      <w:u w:val="single"/>
      <w:lang w:val="en-GB" w:eastAsia="en-US"/>
    </w:rPr>
  </w:style>
  <w:style w:type="paragraph" w:customStyle="1" w:styleId="Comments">
    <w:name w:val="Comments"/>
    <w:basedOn w:val="a"/>
    <w:link w:val="CommentsChar"/>
    <w:qFormat/>
    <w:rsid w:val="005031C7"/>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5031C7"/>
    <w:rPr>
      <w:rFonts w:ascii="Arial" w:eastAsia="MS Mincho" w:hAnsi="Arial" w:cs="Times New Roman"/>
      <w:i/>
      <w:kern w:val="0"/>
      <w:sz w:val="18"/>
      <w:szCs w:val="24"/>
      <w:lang w:val="en-GB" w:eastAsia="en-GB"/>
    </w:rPr>
  </w:style>
  <w:style w:type="paragraph" w:styleId="aa">
    <w:name w:val="annotation subject"/>
    <w:basedOn w:val="a5"/>
    <w:next w:val="a5"/>
    <w:link w:val="Char3"/>
    <w:uiPriority w:val="99"/>
    <w:semiHidden/>
    <w:unhideWhenUsed/>
    <w:rsid w:val="002B1E18"/>
    <w:pPr>
      <w:jc w:val="left"/>
    </w:pPr>
    <w:rPr>
      <w:b/>
      <w:bCs/>
    </w:rPr>
  </w:style>
  <w:style w:type="character" w:customStyle="1" w:styleId="Char3">
    <w:name w:val="메모 주제 Char"/>
    <w:basedOn w:val="Char"/>
    <w:link w:val="aa"/>
    <w:uiPriority w:val="99"/>
    <w:semiHidden/>
    <w:rsid w:val="002B1E18"/>
    <w:rPr>
      <w:rFonts w:ascii="Times New Roman" w:eastAsia="MS Mincho" w:hAnsi="Times New Roman" w:cs="Times New Roman"/>
      <w:b/>
      <w:bCs/>
      <w:kern w:val="0"/>
      <w:szCs w:val="20"/>
      <w:lang w:val="en-GB" w:eastAsia="en-US"/>
    </w:rPr>
  </w:style>
  <w:style w:type="paragraph" w:styleId="ab">
    <w:name w:val="Revision"/>
    <w:hidden/>
    <w:uiPriority w:val="99"/>
    <w:semiHidden/>
    <w:rsid w:val="002B1E18"/>
    <w:pPr>
      <w:spacing w:after="0" w:line="240" w:lineRule="auto"/>
      <w:jc w:val="left"/>
    </w:pPr>
    <w:rPr>
      <w:rFonts w:ascii="Times New Roman" w:eastAsia="MS Mincho" w:hAnsi="Times New Roman" w:cs="Times New Roman"/>
      <w:kern w:val="0"/>
      <w:szCs w:val="20"/>
      <w:lang w:val="en-GB" w:eastAsia="en-US"/>
    </w:rPr>
  </w:style>
  <w:style w:type="paragraph" w:styleId="ac">
    <w:name w:val="No Spacing"/>
    <w:uiPriority w:val="1"/>
    <w:qFormat/>
    <w:rsid w:val="00F60C44"/>
    <w:pPr>
      <w:spacing w:after="0" w:line="240" w:lineRule="auto"/>
      <w:ind w:left="851" w:hanging="284"/>
    </w:pPr>
    <w:rPr>
      <w:rFonts w:ascii="Times New Roman" w:eastAsia="MS Mincho" w:hAnsi="Times New Roman" w:cs="Times New Roman"/>
      <w:kern w:val="0"/>
      <w:szCs w:val="20"/>
      <w:lang w:val="en-GB" w:eastAsia="en-US"/>
    </w:rPr>
  </w:style>
  <w:style w:type="paragraph" w:styleId="ad">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
    <w:basedOn w:val="a"/>
    <w:link w:val="Char4"/>
    <w:uiPriority w:val="34"/>
    <w:qFormat/>
    <w:rsid w:val="00D535E6"/>
    <w:pPr>
      <w:spacing w:before="0" w:after="0" w:line="240" w:lineRule="auto"/>
      <w:ind w:leftChars="400" w:left="840" w:firstLine="0"/>
      <w:jc w:val="left"/>
    </w:pPr>
    <w:rPr>
      <w:rFonts w:ascii="Times" w:eastAsia="바탕" w:hAnsi="Times"/>
      <w:szCs w:val="24"/>
      <w:lang w:eastAsia="x-none"/>
    </w:rPr>
  </w:style>
  <w:style w:type="character" w:customStyle="1" w:styleId="Char4">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d"/>
    <w:uiPriority w:val="34"/>
    <w:qFormat/>
    <w:rsid w:val="00D535E6"/>
    <w:rPr>
      <w:rFonts w:ascii="Times" w:eastAsia="바탕" w:hAnsi="Times" w:cs="Times New Roman"/>
      <w:kern w:val="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4230">
      <w:bodyDiv w:val="1"/>
      <w:marLeft w:val="0"/>
      <w:marRight w:val="0"/>
      <w:marTop w:val="0"/>
      <w:marBottom w:val="0"/>
      <w:divBdr>
        <w:top w:val="none" w:sz="0" w:space="0" w:color="auto"/>
        <w:left w:val="none" w:sz="0" w:space="0" w:color="auto"/>
        <w:bottom w:val="none" w:sz="0" w:space="0" w:color="auto"/>
        <w:right w:val="none" w:sz="0" w:space="0" w:color="auto"/>
      </w:divBdr>
    </w:div>
    <w:div w:id="26489892">
      <w:bodyDiv w:val="1"/>
      <w:marLeft w:val="0"/>
      <w:marRight w:val="0"/>
      <w:marTop w:val="0"/>
      <w:marBottom w:val="0"/>
      <w:divBdr>
        <w:top w:val="none" w:sz="0" w:space="0" w:color="auto"/>
        <w:left w:val="none" w:sz="0" w:space="0" w:color="auto"/>
        <w:bottom w:val="none" w:sz="0" w:space="0" w:color="auto"/>
        <w:right w:val="none" w:sz="0" w:space="0" w:color="auto"/>
      </w:divBdr>
    </w:div>
    <w:div w:id="326904643">
      <w:bodyDiv w:val="1"/>
      <w:marLeft w:val="0"/>
      <w:marRight w:val="0"/>
      <w:marTop w:val="0"/>
      <w:marBottom w:val="0"/>
      <w:divBdr>
        <w:top w:val="none" w:sz="0" w:space="0" w:color="auto"/>
        <w:left w:val="none" w:sz="0" w:space="0" w:color="auto"/>
        <w:bottom w:val="none" w:sz="0" w:space="0" w:color="auto"/>
        <w:right w:val="none" w:sz="0" w:space="0" w:color="auto"/>
      </w:divBdr>
    </w:div>
    <w:div w:id="415398200">
      <w:bodyDiv w:val="1"/>
      <w:marLeft w:val="0"/>
      <w:marRight w:val="0"/>
      <w:marTop w:val="0"/>
      <w:marBottom w:val="0"/>
      <w:divBdr>
        <w:top w:val="none" w:sz="0" w:space="0" w:color="auto"/>
        <w:left w:val="none" w:sz="0" w:space="0" w:color="auto"/>
        <w:bottom w:val="none" w:sz="0" w:space="0" w:color="auto"/>
        <w:right w:val="none" w:sz="0" w:space="0" w:color="auto"/>
      </w:divBdr>
    </w:div>
    <w:div w:id="529759549">
      <w:bodyDiv w:val="1"/>
      <w:marLeft w:val="0"/>
      <w:marRight w:val="0"/>
      <w:marTop w:val="0"/>
      <w:marBottom w:val="0"/>
      <w:divBdr>
        <w:top w:val="none" w:sz="0" w:space="0" w:color="auto"/>
        <w:left w:val="none" w:sz="0" w:space="0" w:color="auto"/>
        <w:bottom w:val="none" w:sz="0" w:space="0" w:color="auto"/>
        <w:right w:val="none" w:sz="0" w:space="0" w:color="auto"/>
      </w:divBdr>
    </w:div>
    <w:div w:id="558516796">
      <w:bodyDiv w:val="1"/>
      <w:marLeft w:val="0"/>
      <w:marRight w:val="0"/>
      <w:marTop w:val="0"/>
      <w:marBottom w:val="0"/>
      <w:divBdr>
        <w:top w:val="none" w:sz="0" w:space="0" w:color="auto"/>
        <w:left w:val="none" w:sz="0" w:space="0" w:color="auto"/>
        <w:bottom w:val="none" w:sz="0" w:space="0" w:color="auto"/>
        <w:right w:val="none" w:sz="0" w:space="0" w:color="auto"/>
      </w:divBdr>
    </w:div>
    <w:div w:id="742526895">
      <w:bodyDiv w:val="1"/>
      <w:marLeft w:val="0"/>
      <w:marRight w:val="0"/>
      <w:marTop w:val="0"/>
      <w:marBottom w:val="0"/>
      <w:divBdr>
        <w:top w:val="none" w:sz="0" w:space="0" w:color="auto"/>
        <w:left w:val="none" w:sz="0" w:space="0" w:color="auto"/>
        <w:bottom w:val="none" w:sz="0" w:space="0" w:color="auto"/>
        <w:right w:val="none" w:sz="0" w:space="0" w:color="auto"/>
      </w:divBdr>
    </w:div>
    <w:div w:id="971786051">
      <w:bodyDiv w:val="1"/>
      <w:marLeft w:val="0"/>
      <w:marRight w:val="0"/>
      <w:marTop w:val="0"/>
      <w:marBottom w:val="0"/>
      <w:divBdr>
        <w:top w:val="none" w:sz="0" w:space="0" w:color="auto"/>
        <w:left w:val="none" w:sz="0" w:space="0" w:color="auto"/>
        <w:bottom w:val="none" w:sz="0" w:space="0" w:color="auto"/>
        <w:right w:val="none" w:sz="0" w:space="0" w:color="auto"/>
      </w:divBdr>
    </w:div>
    <w:div w:id="1019701384">
      <w:bodyDiv w:val="1"/>
      <w:marLeft w:val="0"/>
      <w:marRight w:val="0"/>
      <w:marTop w:val="0"/>
      <w:marBottom w:val="0"/>
      <w:divBdr>
        <w:top w:val="none" w:sz="0" w:space="0" w:color="auto"/>
        <w:left w:val="none" w:sz="0" w:space="0" w:color="auto"/>
        <w:bottom w:val="none" w:sz="0" w:space="0" w:color="auto"/>
        <w:right w:val="none" w:sz="0" w:space="0" w:color="auto"/>
      </w:divBdr>
    </w:div>
    <w:div w:id="1456026619">
      <w:bodyDiv w:val="1"/>
      <w:marLeft w:val="0"/>
      <w:marRight w:val="0"/>
      <w:marTop w:val="0"/>
      <w:marBottom w:val="0"/>
      <w:divBdr>
        <w:top w:val="none" w:sz="0" w:space="0" w:color="auto"/>
        <w:left w:val="none" w:sz="0" w:space="0" w:color="auto"/>
        <w:bottom w:val="none" w:sz="0" w:space="0" w:color="auto"/>
        <w:right w:val="none" w:sz="0" w:space="0" w:color="auto"/>
      </w:divBdr>
    </w:div>
    <w:div w:id="1484740360">
      <w:bodyDiv w:val="1"/>
      <w:marLeft w:val="0"/>
      <w:marRight w:val="0"/>
      <w:marTop w:val="0"/>
      <w:marBottom w:val="0"/>
      <w:divBdr>
        <w:top w:val="none" w:sz="0" w:space="0" w:color="auto"/>
        <w:left w:val="none" w:sz="0" w:space="0" w:color="auto"/>
        <w:bottom w:val="none" w:sz="0" w:space="0" w:color="auto"/>
        <w:right w:val="none" w:sz="0" w:space="0" w:color="auto"/>
      </w:divBdr>
    </w:div>
    <w:div w:id="1587378712">
      <w:bodyDiv w:val="1"/>
      <w:marLeft w:val="0"/>
      <w:marRight w:val="0"/>
      <w:marTop w:val="0"/>
      <w:marBottom w:val="0"/>
      <w:divBdr>
        <w:top w:val="none" w:sz="0" w:space="0" w:color="auto"/>
        <w:left w:val="none" w:sz="0" w:space="0" w:color="auto"/>
        <w:bottom w:val="none" w:sz="0" w:space="0" w:color="auto"/>
        <w:right w:val="none" w:sz="0" w:space="0" w:color="auto"/>
      </w:divBdr>
    </w:div>
    <w:div w:id="1662541819">
      <w:bodyDiv w:val="1"/>
      <w:marLeft w:val="0"/>
      <w:marRight w:val="0"/>
      <w:marTop w:val="0"/>
      <w:marBottom w:val="0"/>
      <w:divBdr>
        <w:top w:val="none" w:sz="0" w:space="0" w:color="auto"/>
        <w:left w:val="none" w:sz="0" w:space="0" w:color="auto"/>
        <w:bottom w:val="none" w:sz="0" w:space="0" w:color="auto"/>
        <w:right w:val="none" w:sz="0" w:space="0" w:color="auto"/>
      </w:divBdr>
    </w:div>
    <w:div w:id="204197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5</Pages>
  <Words>1708</Words>
  <Characters>9737</Characters>
  <Application>Microsoft Office Word</Application>
  <DocSecurity>0</DocSecurity>
  <Lines>81</Lines>
  <Paragraphs>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Duckhyun Bae</dc:creator>
  <cp:keywords/>
  <dc:description/>
  <cp:lastModifiedBy>배덕현/선임연구원/차세대표준(연)5G표준Task(duckhyun.bae@lge.com)</cp:lastModifiedBy>
  <cp:revision>8</cp:revision>
  <dcterms:created xsi:type="dcterms:W3CDTF">2019-08-16T07:57:00Z</dcterms:created>
  <dcterms:modified xsi:type="dcterms:W3CDTF">2019-08-16T11:06:00Z</dcterms:modified>
</cp:coreProperties>
</file>